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1E" w:rsidRDefault="009312C7" w:rsidP="0043201E">
      <w:pPr>
        <w:pStyle w:val="Subttulo"/>
        <w:jc w:val="left"/>
        <w:rPr>
          <w:rFonts w:ascii="Arial" w:hAnsi="Arial"/>
          <w:b/>
          <w:color w:val="800000"/>
          <w:sz w:val="22"/>
        </w:rPr>
      </w:pPr>
      <w:r>
        <w:rPr>
          <w:rFonts w:ascii="Arial" w:hAnsi="Arial"/>
          <w:b/>
          <w:color w:val="800000"/>
          <w:sz w:val="22"/>
        </w:rPr>
        <w:t xml:space="preserve"> </w:t>
      </w:r>
    </w:p>
    <w:p w:rsidR="0043201E" w:rsidRDefault="0043201E" w:rsidP="0043201E">
      <w:pPr>
        <w:pStyle w:val="Subttulo"/>
        <w:tabs>
          <w:tab w:val="left" w:pos="9356"/>
          <w:tab w:val="left" w:pos="10773"/>
        </w:tabs>
        <w:ind w:right="48"/>
        <w:jc w:val="center"/>
        <w:rPr>
          <w:rFonts w:ascii="Arial" w:hAnsi="Arial"/>
          <w:b/>
          <w:color w:val="800000"/>
          <w:sz w:val="22"/>
        </w:rPr>
      </w:pPr>
    </w:p>
    <w:p w:rsidR="0043201E" w:rsidRPr="00942066" w:rsidRDefault="0043201E" w:rsidP="0043201E">
      <w:pPr>
        <w:pStyle w:val="Subttulo"/>
        <w:tabs>
          <w:tab w:val="left" w:pos="9356"/>
          <w:tab w:val="left" w:pos="10773"/>
        </w:tabs>
        <w:ind w:right="48"/>
        <w:jc w:val="center"/>
        <w:rPr>
          <w:rFonts w:ascii="Arial" w:hAnsi="Arial"/>
          <w:color w:val="1F497D" w:themeColor="text2"/>
          <w:sz w:val="22"/>
        </w:rPr>
      </w:pPr>
      <w:r w:rsidRPr="00942066">
        <w:rPr>
          <w:rFonts w:ascii="Arial" w:hAnsi="Arial"/>
          <w:b/>
          <w:color w:val="1F497D" w:themeColor="text2"/>
          <w:sz w:val="22"/>
        </w:rPr>
        <w:t>1. COMPETÊNCIA E ORGANIZAÇÃO DO TRIBUNAL</w:t>
      </w:r>
    </w:p>
    <w:p w:rsidR="0043201E" w:rsidRPr="00942066" w:rsidRDefault="0043201E" w:rsidP="0043201E">
      <w:pPr>
        <w:pStyle w:val="Subttulo"/>
        <w:jc w:val="both"/>
        <w:rPr>
          <w:rFonts w:ascii="Arial" w:hAnsi="Arial"/>
          <w:color w:val="1F497D" w:themeColor="text2"/>
          <w:sz w:val="22"/>
        </w:rPr>
      </w:pPr>
    </w:p>
    <w:p w:rsidR="0043201E" w:rsidRDefault="0043201E" w:rsidP="0043201E">
      <w:pPr>
        <w:pStyle w:val="Subttulo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Recuodecorpodetexto2"/>
        <w:rPr>
          <w:rFonts w:ascii="Arial" w:hAnsi="Arial"/>
          <w:sz w:val="22"/>
        </w:rPr>
      </w:pPr>
      <w:r>
        <w:rPr>
          <w:rFonts w:ascii="Arial" w:hAnsi="Arial"/>
          <w:sz w:val="22"/>
        </w:rPr>
        <w:t>Ao Tribunal de Contas do Estado -TCE/SC, em auxílio à Assembl</w:t>
      </w:r>
      <w:r w:rsidR="003B693D">
        <w:rPr>
          <w:rFonts w:ascii="Arial" w:hAnsi="Arial"/>
          <w:sz w:val="22"/>
        </w:rPr>
        <w:t>é</w:t>
      </w:r>
      <w:r>
        <w:rPr>
          <w:rFonts w:ascii="Arial" w:hAnsi="Arial"/>
          <w:sz w:val="22"/>
        </w:rPr>
        <w:t>ia Legislativa de Santa Catarina no exercício do controle externo, são conferidas várias competências nos termos da Constituição do Estado</w:t>
      </w:r>
      <w:r w:rsidR="007D315A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sintetizadas na Tabela 01</w:t>
      </w:r>
      <w:r w:rsidR="007D315A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bem como outras determinadas através de leis específicas</w:t>
      </w:r>
      <w:r w:rsidR="007D315A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 conforme Tabela 02.</w:t>
      </w:r>
    </w:p>
    <w:p w:rsidR="0043201E" w:rsidRDefault="0043201E" w:rsidP="0043201E">
      <w:pPr>
        <w:pStyle w:val="Recuodecorpodetexto"/>
        <w:ind w:firstLine="1134"/>
        <w:rPr>
          <w:sz w:val="22"/>
        </w:rPr>
      </w:pPr>
    </w:p>
    <w:p w:rsidR="0043201E" w:rsidRPr="003C32D5" w:rsidRDefault="0043201E" w:rsidP="003C32D5">
      <w:pPr>
        <w:pStyle w:val="Subttulo"/>
        <w:tabs>
          <w:tab w:val="left" w:pos="9356"/>
          <w:tab w:val="left" w:pos="10773"/>
        </w:tabs>
        <w:ind w:right="48"/>
        <w:jc w:val="center"/>
        <w:rPr>
          <w:rFonts w:ascii="Arial" w:hAnsi="Arial"/>
          <w:b/>
          <w:color w:val="1F497D" w:themeColor="text2"/>
          <w:sz w:val="22"/>
        </w:rPr>
      </w:pPr>
      <w:r w:rsidRPr="003C32D5">
        <w:rPr>
          <w:rFonts w:ascii="Arial" w:hAnsi="Arial"/>
          <w:b/>
          <w:color w:val="1F497D" w:themeColor="text2"/>
          <w:sz w:val="22"/>
        </w:rPr>
        <w:t>TABELA 01 - COMPETÊNCIA CONSTITUCIONAL DO TRIBUNAL DE CONTAS</w:t>
      </w:r>
    </w:p>
    <w:tbl>
      <w:tblPr>
        <w:tblW w:w="0" w:type="auto"/>
        <w:tblBorders>
          <w:top w:val="single" w:sz="12" w:space="0" w:color="1F497D" w:themeColor="text2"/>
          <w:bottom w:val="single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1701"/>
      </w:tblGrid>
      <w:tr w:rsidR="0043201E" w:rsidTr="00942066">
        <w:tc>
          <w:tcPr>
            <w:tcW w:w="7725" w:type="dxa"/>
            <w:shd w:val="clear" w:color="800000" w:fill="1F497D" w:themeFill="text2"/>
          </w:tcPr>
          <w:p w:rsidR="0043201E" w:rsidRPr="00942066" w:rsidRDefault="0043201E" w:rsidP="0043201E">
            <w:pPr>
              <w:pStyle w:val="Subttulo"/>
              <w:spacing w:before="120" w:after="120"/>
              <w:jc w:val="center"/>
              <w:rPr>
                <w:rFonts w:ascii="Arial" w:hAnsi="Arial"/>
                <w:b/>
                <w:color w:val="F2F2F2" w:themeColor="background1" w:themeShade="F2"/>
                <w:sz w:val="17"/>
              </w:rPr>
            </w:pPr>
            <w:r w:rsidRPr="00942066">
              <w:rPr>
                <w:rFonts w:ascii="Arial" w:hAnsi="Arial"/>
                <w:b/>
                <w:color w:val="F2F2F2" w:themeColor="background1" w:themeShade="F2"/>
                <w:sz w:val="17"/>
              </w:rPr>
              <w:t>Competência</w:t>
            </w:r>
          </w:p>
        </w:tc>
        <w:tc>
          <w:tcPr>
            <w:tcW w:w="1701" w:type="dxa"/>
            <w:shd w:val="clear" w:color="800000" w:fill="1F497D" w:themeFill="text2"/>
          </w:tcPr>
          <w:p w:rsidR="0043201E" w:rsidRPr="00942066" w:rsidRDefault="0043201E" w:rsidP="0043201E">
            <w:pPr>
              <w:pStyle w:val="Subttulo"/>
              <w:spacing w:before="120" w:after="120"/>
              <w:jc w:val="center"/>
              <w:rPr>
                <w:rFonts w:ascii="Arial" w:hAnsi="Arial"/>
                <w:b/>
                <w:color w:val="F2F2F2" w:themeColor="background1" w:themeShade="F2"/>
                <w:sz w:val="17"/>
              </w:rPr>
            </w:pPr>
            <w:r w:rsidRPr="00942066">
              <w:rPr>
                <w:rFonts w:ascii="Arial" w:hAnsi="Arial"/>
                <w:b/>
                <w:color w:val="F2F2F2" w:themeColor="background1" w:themeShade="F2"/>
                <w:sz w:val="17"/>
              </w:rPr>
              <w:t>Fundamento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3F54F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Apreciar e emitir Parecer Prévio sobre as contas anuais do Governador do Estado.</w:t>
            </w:r>
          </w:p>
        </w:tc>
        <w:tc>
          <w:tcPr>
            <w:tcW w:w="1701" w:type="dxa"/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Julgar as contas dos administradores e demais responsáveis por dinheiros, bens e valores da administração direta e indireta.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II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Apreciar a legalidade dos atos de admissão de pessoal e de concessão de aposentadorias, reformas, transferências para a reserva e pensões.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III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D75849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Realizar inspeções e auditorias por iniciativa própria ou por solicitação da Assembl</w:t>
            </w:r>
            <w:r w:rsidR="00D75849">
              <w:rPr>
                <w:rFonts w:ascii="Arial" w:hAnsi="Arial"/>
                <w:sz w:val="17"/>
              </w:rPr>
              <w:t>é</w:t>
            </w:r>
            <w:r>
              <w:rPr>
                <w:rFonts w:ascii="Arial" w:hAnsi="Arial"/>
                <w:sz w:val="17"/>
              </w:rPr>
              <w:t>ia Legislativa.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IV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Fiscalizar as contas de empresas de cujo capital social o Estado tenha participação direta ou indireta.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V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Fiscalizar a aplicação de quaisquer recursos repassados pelo Estado a Municípios, e subvenções a qualquer entidade de direito privado.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VI</w:t>
            </w:r>
          </w:p>
        </w:tc>
      </w:tr>
      <w:tr w:rsidR="0043201E" w:rsidTr="00942066">
        <w:tc>
          <w:tcPr>
            <w:tcW w:w="7725" w:type="dxa"/>
          </w:tcPr>
          <w:p w:rsidR="0043201E" w:rsidRDefault="00E9183E" w:rsidP="0043201E">
            <w:pPr>
              <w:pStyle w:val="Subttulo"/>
              <w:numPr>
                <w:ilvl w:val="0"/>
                <w:numId w:val="4"/>
              </w:numPr>
              <w:ind w:left="357" w:hanging="357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       </w:t>
            </w:r>
            <w:r w:rsidR="0043201E">
              <w:rPr>
                <w:rFonts w:ascii="Arial" w:hAnsi="Arial"/>
                <w:sz w:val="17"/>
              </w:rPr>
              <w:t>Prestar informações à Assembléia Legislativa sobre fiscalizações realizadas.</w:t>
            </w:r>
          </w:p>
        </w:tc>
        <w:tc>
          <w:tcPr>
            <w:tcW w:w="1701" w:type="dxa"/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VII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Aplicar aos responsáveis, em caso de ilegalidade de despesa ou irregularidade de contas, as sanções previstas em Lei.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VIII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Assinar prazo para que o órgão ou entidade tome providências no caso de constatação de  ilegalidade quanto ao cumprimento da lei.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IX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Sustar, se não atendido, a execução do ato impugnado comunicando a decisão a Assembléia Legislativa.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X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Representar ao Poder competente sobre irregularidades ou abusos apurados.</w:t>
            </w:r>
          </w:p>
        </w:tc>
        <w:tc>
          <w:tcPr>
            <w:tcW w:w="1701" w:type="dxa"/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XI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Responder as consultas sobre interpretação de lei relativas a matéria sujeita à sua fiscalização.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59, XII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Emitir pronunciamento conclusivo sobre matéria que seja submetida à apreciação da Comissão Mista Permanente de Deputados. 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60, § 1°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Auditar, por solicitação da Comissão a que se refere o § 1º do art. 122 da Constituição Estadual, ou de comissão técnica da Assembléia Legislativa, projetos e programas autorizados na Lei Orçamentária Anual do Estado, avaliando os seus resultados quanto à eficácia, eficiência e economicidade.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122, § 1º</w:t>
            </w:r>
          </w:p>
        </w:tc>
      </w:tr>
      <w:tr w:rsidR="0043201E" w:rsidTr="00942066">
        <w:tc>
          <w:tcPr>
            <w:tcW w:w="7725" w:type="dxa"/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Apurar Denúncias apresentadas por qualquer cidadão, partido político, associação ou sindicato sobre irregularidades ou ilegalidades. </w:t>
            </w:r>
          </w:p>
        </w:tc>
        <w:tc>
          <w:tcPr>
            <w:tcW w:w="1701" w:type="dxa"/>
          </w:tcPr>
          <w:p w:rsidR="000C610A" w:rsidRDefault="000C610A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</w:p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Art. 62, § 2º</w:t>
            </w:r>
          </w:p>
        </w:tc>
      </w:tr>
    </w:tbl>
    <w:p w:rsidR="0043201E" w:rsidRDefault="0043201E" w:rsidP="0043201E">
      <w:pPr>
        <w:rPr>
          <w:sz w:val="22"/>
        </w:rPr>
      </w:pPr>
    </w:p>
    <w:p w:rsidR="0043201E" w:rsidRDefault="0043201E" w:rsidP="0043201E">
      <w:pPr>
        <w:rPr>
          <w:sz w:val="22"/>
        </w:rPr>
      </w:pPr>
    </w:p>
    <w:p w:rsidR="0043201E" w:rsidRPr="003C32D5" w:rsidRDefault="0043201E" w:rsidP="003C32D5">
      <w:pPr>
        <w:pStyle w:val="Subttulo"/>
        <w:tabs>
          <w:tab w:val="left" w:pos="9356"/>
          <w:tab w:val="left" w:pos="10773"/>
        </w:tabs>
        <w:ind w:right="48"/>
        <w:jc w:val="center"/>
        <w:rPr>
          <w:rFonts w:ascii="Arial" w:hAnsi="Arial"/>
          <w:b/>
          <w:color w:val="1F497D" w:themeColor="text2"/>
          <w:sz w:val="22"/>
        </w:rPr>
      </w:pPr>
      <w:r w:rsidRPr="003C32D5">
        <w:rPr>
          <w:rFonts w:ascii="Arial" w:hAnsi="Arial"/>
          <w:b/>
          <w:color w:val="1F497D" w:themeColor="text2"/>
          <w:sz w:val="22"/>
        </w:rPr>
        <w:t>TABELA 02 - COMPETÊNCIA LEGAL DO TRIBUNAL DE CONTAS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1701"/>
      </w:tblGrid>
      <w:tr w:rsidR="0043201E" w:rsidTr="00942066">
        <w:tc>
          <w:tcPr>
            <w:tcW w:w="7725" w:type="dxa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1F497D" w:themeFill="text2"/>
          </w:tcPr>
          <w:p w:rsidR="0043201E" w:rsidRPr="00942066" w:rsidRDefault="0043201E" w:rsidP="0043201E">
            <w:pPr>
              <w:pStyle w:val="Subttulo"/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7"/>
              </w:rPr>
            </w:pPr>
            <w:r w:rsidRPr="00942066">
              <w:rPr>
                <w:rFonts w:ascii="Arial" w:hAnsi="Arial"/>
                <w:b/>
                <w:color w:val="FFFFFF" w:themeColor="background1"/>
                <w:sz w:val="17"/>
              </w:rPr>
              <w:t>Competência</w:t>
            </w:r>
          </w:p>
        </w:tc>
        <w:tc>
          <w:tcPr>
            <w:tcW w:w="1701" w:type="dxa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1F497D" w:themeFill="text2"/>
          </w:tcPr>
          <w:p w:rsidR="0043201E" w:rsidRPr="00942066" w:rsidRDefault="0043201E" w:rsidP="0043201E">
            <w:pPr>
              <w:pStyle w:val="Subttulo"/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7"/>
              </w:rPr>
            </w:pPr>
            <w:r w:rsidRPr="00942066">
              <w:rPr>
                <w:rFonts w:ascii="Arial" w:hAnsi="Arial"/>
                <w:b/>
                <w:color w:val="FFFFFF" w:themeColor="background1"/>
                <w:sz w:val="17"/>
              </w:rPr>
              <w:t>Fundamento</w:t>
            </w:r>
          </w:p>
        </w:tc>
      </w:tr>
      <w:tr w:rsidR="0043201E" w:rsidTr="0043201E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Proceder o controle da legalidade e legitimidade dos bens e rendas de ocupantes de cargos , empregos e funções nos Poderes Executivo, Legislativo e Judiciário.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Lei n° 8.730 de 10/11/93</w:t>
            </w:r>
          </w:p>
        </w:tc>
      </w:tr>
      <w:tr w:rsidR="0043201E" w:rsidTr="0043201E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Decidir sobre Representação apresentada pelas Câmaras Municipais acerca de irregularidades na liberação de recursos federais para os respectivos municípios.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Lei n° 9.452 de 20/03/97</w:t>
            </w:r>
          </w:p>
        </w:tc>
      </w:tr>
      <w:tr w:rsidR="0043201E" w:rsidTr="0043201E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Apreciar Representações formuladas por licitantes, contratados ou pessoas físicas ou jurídicas, acerca de irregularidades na aplicação da lei de Licitações e Contratos da Administração pública.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Lei n° 8.666 de 21/06/93</w:t>
            </w:r>
          </w:p>
        </w:tc>
      </w:tr>
      <w:tr w:rsidR="0043201E" w:rsidTr="0043201E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Apreciar as contas dos gestores públicos no que lhe compete sobre a legalidade, a legitimidade e a economicidade de seus atos, bem como sobre a aplicação de subvenções e a renúncia de receitas.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LC n° 202/2000 de 15/12/2000</w:t>
            </w:r>
          </w:p>
        </w:tc>
      </w:tr>
      <w:tr w:rsidR="0043201E" w:rsidTr="00942066"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Decidir sobre consultas de autoridades competentes com relação a interpretação na aplicação de dispositivos legais, relativas à matéria sujeita a sua fiscalização.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LC n° 202/2000 de 15/12/2000</w:t>
            </w:r>
          </w:p>
        </w:tc>
      </w:tr>
      <w:tr w:rsidR="0043201E" w:rsidTr="00942066">
        <w:tc>
          <w:tcPr>
            <w:tcW w:w="7725" w:type="dxa"/>
            <w:tcBorders>
              <w:top w:val="nil"/>
              <w:left w:val="nil"/>
              <w:bottom w:val="single" w:sz="12" w:space="0" w:color="1F497D" w:themeColor="text2"/>
              <w:right w:val="nil"/>
            </w:tcBorders>
          </w:tcPr>
          <w:p w:rsidR="0043201E" w:rsidRDefault="0043201E" w:rsidP="0043201E">
            <w:pPr>
              <w:pStyle w:val="Subttulo"/>
              <w:numPr>
                <w:ilvl w:val="0"/>
                <w:numId w:val="4"/>
              </w:numPr>
              <w:ind w:left="709" w:hanging="709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Fiscalizar acerca do cumprimento por parte dos administradores públicos quanto aos limites das despesas de pessoal estabelecidos na Lei de Responsabilidade Fiscal.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1F497D" w:themeColor="text2"/>
              <w:right w:val="nil"/>
            </w:tcBorders>
          </w:tcPr>
          <w:p w:rsidR="0043201E" w:rsidRDefault="0043201E" w:rsidP="0043201E">
            <w:pPr>
              <w:pStyle w:val="Subttul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LC n° 101/2000 de 04/05/2000</w:t>
            </w:r>
          </w:p>
        </w:tc>
      </w:tr>
    </w:tbl>
    <w:p w:rsidR="0043201E" w:rsidRDefault="0043201E" w:rsidP="0043201E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Subttulo"/>
        <w:tabs>
          <w:tab w:val="left" w:pos="851"/>
        </w:tabs>
        <w:ind w:firstLine="851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Subttulo"/>
        <w:tabs>
          <w:tab w:val="left" w:pos="851"/>
        </w:tabs>
        <w:ind w:firstLine="851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O Tribunal de Contas de Santa Catarina tem sede no município de Florianópolis é integrado por sete Conselheiros e possui quadro de pessoal próprio e jurisdição em todo território estadual. Os Conselheiros são escolhidos:</w:t>
      </w:r>
    </w:p>
    <w:p w:rsidR="0043201E" w:rsidRDefault="0043201E" w:rsidP="0043201E">
      <w:pPr>
        <w:pStyle w:val="Subttulo"/>
        <w:tabs>
          <w:tab w:val="left" w:pos="851"/>
        </w:tabs>
        <w:ind w:firstLine="851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Subttulo"/>
        <w:numPr>
          <w:ilvl w:val="0"/>
          <w:numId w:val="3"/>
        </w:num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Três, pelo Governador do Estado com aprovação da Assembléia Legislativa; </w:t>
      </w:r>
    </w:p>
    <w:p w:rsidR="0043201E" w:rsidRDefault="0043201E" w:rsidP="0043201E">
      <w:pPr>
        <w:pStyle w:val="Subttulo"/>
        <w:numPr>
          <w:ilvl w:val="0"/>
          <w:numId w:val="3"/>
        </w:num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Quatro, pela Assembléia Legislativa (art. 61, § 2°, I e II da Constituição Estadual).</w:t>
      </w:r>
    </w:p>
    <w:p w:rsidR="0043201E" w:rsidRDefault="0043201E" w:rsidP="0043201E">
      <w:pPr>
        <w:pStyle w:val="Subttulo"/>
        <w:tabs>
          <w:tab w:val="left" w:pos="851"/>
        </w:tabs>
        <w:ind w:firstLine="709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 acordo com a Lei Orgânica do Tribunal, Lei Complementar n° 202/2000, de 15/12/2000, sua estrutura organizacional é assim composta:</w:t>
      </w:r>
    </w:p>
    <w:p w:rsidR="0043201E" w:rsidRDefault="0043201E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72"/>
        <w:gridCol w:w="4772"/>
      </w:tblGrid>
      <w:tr w:rsidR="0043201E" w:rsidTr="0043201E">
        <w:trPr>
          <w:trHeight w:val="2170"/>
        </w:trPr>
        <w:tc>
          <w:tcPr>
            <w:tcW w:w="4772" w:type="dxa"/>
          </w:tcPr>
          <w:p w:rsidR="0043201E" w:rsidRDefault="0043201E" w:rsidP="0043201E">
            <w:pPr>
              <w:pStyle w:val="Subttulo"/>
              <w:tabs>
                <w:tab w:val="left" w:pos="851"/>
              </w:tabs>
              <w:ind w:firstLine="85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- órgãos deliberativos:</w:t>
            </w:r>
          </w:p>
          <w:p w:rsidR="0043201E" w:rsidRDefault="0043201E" w:rsidP="0043201E">
            <w:pPr>
              <w:pStyle w:val="Subttulo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 Plenário</w:t>
            </w:r>
            <w:r w:rsidR="00081A10">
              <w:rPr>
                <w:rFonts w:ascii="Arial" w:hAnsi="Arial"/>
                <w:sz w:val="22"/>
              </w:rPr>
              <w:t>;</w:t>
            </w:r>
            <w:r>
              <w:rPr>
                <w:rFonts w:ascii="Arial" w:hAnsi="Arial"/>
                <w:sz w:val="22"/>
              </w:rPr>
              <w:t xml:space="preserve"> e</w:t>
            </w:r>
          </w:p>
          <w:p w:rsidR="0043201E" w:rsidRDefault="0043201E" w:rsidP="0043201E">
            <w:pPr>
              <w:pStyle w:val="Subttulo"/>
              <w:numPr>
                <w:ilvl w:val="0"/>
                <w:numId w:val="1"/>
              </w:numPr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 Câmaras;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II - órgãos de administração superior:</w:t>
            </w:r>
          </w:p>
          <w:p w:rsidR="0043201E" w:rsidRDefault="0043201E" w:rsidP="0043201E">
            <w:pPr>
              <w:pStyle w:val="Subttulo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 Presidência; </w:t>
            </w:r>
          </w:p>
          <w:p w:rsidR="0043201E" w:rsidRDefault="0043201E" w:rsidP="0043201E">
            <w:pPr>
              <w:pStyle w:val="Subttulo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Vice-Presidência; e</w:t>
            </w:r>
          </w:p>
          <w:p w:rsidR="0043201E" w:rsidRDefault="0043201E" w:rsidP="0043201E">
            <w:pPr>
              <w:pStyle w:val="Subttulo"/>
              <w:numPr>
                <w:ilvl w:val="0"/>
                <w:numId w:val="2"/>
              </w:numPr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Corregedoria  Geral;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772" w:type="dxa"/>
          </w:tcPr>
          <w:p w:rsidR="0043201E" w:rsidRDefault="0043201E" w:rsidP="0043201E">
            <w:pPr>
              <w:pStyle w:val="Subttulo"/>
              <w:tabs>
                <w:tab w:val="left" w:pos="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III - órgão especial: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a) o Corpo de Auditores;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</w:p>
          <w:p w:rsidR="0043201E" w:rsidRDefault="0043201E" w:rsidP="0043201E">
            <w:pPr>
              <w:pStyle w:val="Subttulo"/>
              <w:tabs>
                <w:tab w:val="left" w:pos="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IV - órgãos auxiliares: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a) os órgãos de controle;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b) os órgãos de consultoria e controle;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c) os órgãos de assessoria; e</w:t>
            </w:r>
          </w:p>
          <w:p w:rsidR="0043201E" w:rsidRDefault="0043201E" w:rsidP="0043201E">
            <w:pPr>
              <w:pStyle w:val="Subttulo"/>
              <w:tabs>
                <w:tab w:val="left" w:pos="851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d) os órgãos de apoio técnico e administrativo.</w:t>
            </w:r>
          </w:p>
        </w:tc>
      </w:tr>
    </w:tbl>
    <w:p w:rsidR="0043201E" w:rsidRDefault="0043201E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</w:p>
    <w:p w:rsidR="0043201E" w:rsidRDefault="0043201E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Junto ao TCE/SC, também atua o Ministério Público, na forma estabelecida nos arts. 107 a 111 da Lei Orgânica do Tribunal, de 15 de dezembro de 2000. </w:t>
      </w:r>
    </w:p>
    <w:p w:rsidR="0043201E" w:rsidRDefault="0043201E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</w:p>
    <w:p w:rsidR="00CF48D8" w:rsidRDefault="00CF48D8" w:rsidP="0043201E">
      <w:pPr>
        <w:pStyle w:val="Subttulo"/>
        <w:tabs>
          <w:tab w:val="left" w:pos="851"/>
        </w:tabs>
        <w:ind w:firstLine="1134"/>
        <w:jc w:val="both"/>
        <w:rPr>
          <w:rFonts w:ascii="Arial" w:hAnsi="Arial"/>
          <w:sz w:val="22"/>
        </w:rPr>
      </w:pPr>
    </w:p>
    <w:p w:rsidR="00CF48D8" w:rsidRDefault="00CF48D8" w:rsidP="0043201E">
      <w:pPr>
        <w:pStyle w:val="Subttulo"/>
        <w:tabs>
          <w:tab w:val="left" w:pos="851"/>
        </w:tabs>
        <w:jc w:val="both"/>
      </w:pPr>
      <w:r>
        <w:rPr>
          <w:noProof/>
        </w:rPr>
        <w:drawing>
          <wp:inline distT="0" distB="0" distL="0" distR="0">
            <wp:extent cx="5181600" cy="4136337"/>
            <wp:effectExtent l="19050" t="0" r="0" b="0"/>
            <wp:docPr id="4" name="Imagem 1" descr="cid:image001.png@01CF741F.39A02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1.png@01CF741F.39A02B0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316" cy="413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5AF" w:rsidRDefault="003E15AF" w:rsidP="0043201E">
      <w:pPr>
        <w:pStyle w:val="Subttulo"/>
        <w:tabs>
          <w:tab w:val="left" w:pos="851"/>
        </w:tabs>
        <w:jc w:val="both"/>
      </w:pPr>
    </w:p>
    <w:p w:rsidR="00622C90" w:rsidRDefault="00622C90" w:rsidP="0043201E">
      <w:pPr>
        <w:pStyle w:val="Subttulo"/>
        <w:tabs>
          <w:tab w:val="left" w:pos="851"/>
        </w:tabs>
        <w:jc w:val="both"/>
      </w:pPr>
    </w:p>
    <w:sectPr w:rsidR="00622C90" w:rsidSect="004C4C78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1418" w:bottom="669" w:left="1418" w:header="720" w:footer="1015" w:gutter="0"/>
      <w:pgNumType w:start="6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BD" w:rsidRDefault="00DD36BD">
      <w:r>
        <w:separator/>
      </w:r>
    </w:p>
  </w:endnote>
  <w:endnote w:type="continuationSeparator" w:id="1">
    <w:p w:rsidR="00DD36BD" w:rsidRDefault="00DD3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01E" w:rsidRDefault="006D03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201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201E" w:rsidRDefault="0043201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01E" w:rsidRDefault="006D03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201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1F9E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43201E" w:rsidRDefault="0043201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BD" w:rsidRDefault="00DD36BD">
      <w:r>
        <w:separator/>
      </w:r>
    </w:p>
  </w:footnote>
  <w:footnote w:type="continuationSeparator" w:id="1">
    <w:p w:rsidR="00DD36BD" w:rsidRDefault="00DD3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43201E" w:rsidRPr="007A667A" w:rsidTr="00AD3BC2">
      <w:tc>
        <w:tcPr>
          <w:tcW w:w="9211" w:type="dxa"/>
          <w:tcBorders>
            <w:top w:val="nil"/>
            <w:left w:val="nil"/>
            <w:bottom w:val="thickThinSmallGap" w:sz="24" w:space="0" w:color="1F497D" w:themeColor="text2"/>
            <w:right w:val="nil"/>
          </w:tcBorders>
        </w:tcPr>
        <w:p w:rsidR="0043201E" w:rsidRPr="007A667A" w:rsidRDefault="000B639C" w:rsidP="0043201E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3201E" w:rsidRPr="007A667A" w:rsidTr="00AD3BC2">
      <w:tc>
        <w:tcPr>
          <w:tcW w:w="9211" w:type="dxa"/>
          <w:tcBorders>
            <w:top w:val="thickThinSmallGap" w:sz="24" w:space="0" w:color="1F497D" w:themeColor="text2"/>
            <w:left w:val="nil"/>
            <w:bottom w:val="nil"/>
            <w:right w:val="nil"/>
          </w:tcBorders>
        </w:tcPr>
        <w:p w:rsidR="0043201E" w:rsidRPr="00AD3BC2" w:rsidRDefault="0043201E" w:rsidP="00AD3BC2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AD3BC2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 w:rsidR="004E0066">
            <w:rPr>
              <w:i/>
              <w:color w:val="1F497D" w:themeColor="text2"/>
              <w:sz w:val="13"/>
              <w:szCs w:val="13"/>
            </w:rPr>
            <w:t>2</w:t>
          </w:r>
          <w:r w:rsidRPr="00AD3BC2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 w:rsidR="004E0066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43201E" w:rsidRPr="007A667A" w:rsidRDefault="0043201E" w:rsidP="0043201E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sz w:val="2"/>
            </w:rPr>
          </w:pPr>
        </w:p>
      </w:tc>
    </w:tr>
  </w:tbl>
  <w:p w:rsidR="0043201E" w:rsidRDefault="0043201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43201E" w:rsidRPr="007A667A" w:rsidTr="00942066">
      <w:tc>
        <w:tcPr>
          <w:tcW w:w="9211" w:type="dxa"/>
          <w:tcBorders>
            <w:top w:val="nil"/>
            <w:left w:val="nil"/>
            <w:bottom w:val="thickThinSmallGap" w:sz="24" w:space="0" w:color="1F497D" w:themeColor="text2"/>
            <w:right w:val="nil"/>
          </w:tcBorders>
        </w:tcPr>
        <w:p w:rsidR="0043201E" w:rsidRPr="007A667A" w:rsidRDefault="000B639C" w:rsidP="0043201E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3201E" w:rsidRPr="00942066" w:rsidTr="00942066">
      <w:tc>
        <w:tcPr>
          <w:tcW w:w="9211" w:type="dxa"/>
          <w:tcBorders>
            <w:top w:val="thickThinSmallGap" w:sz="24" w:space="0" w:color="1F497D" w:themeColor="text2"/>
            <w:left w:val="nil"/>
            <w:bottom w:val="nil"/>
            <w:right w:val="nil"/>
          </w:tcBorders>
        </w:tcPr>
        <w:p w:rsidR="0043201E" w:rsidRPr="00AD3BC2" w:rsidRDefault="0043201E" w:rsidP="004E0066">
          <w:pPr>
            <w:pStyle w:val="Claudio"/>
            <w:tabs>
              <w:tab w:val="num" w:pos="2405"/>
            </w:tabs>
            <w:jc w:val="left"/>
            <w:rPr>
              <w:color w:val="1F497D" w:themeColor="text2"/>
              <w:sz w:val="2"/>
            </w:rPr>
          </w:pPr>
          <w:r w:rsidRPr="00AD3BC2">
            <w:rPr>
              <w:i/>
              <w:color w:val="1F497D" w:themeColor="text2"/>
              <w:sz w:val="13"/>
              <w:szCs w:val="13"/>
            </w:rPr>
            <w:t xml:space="preserve">Relatório de Atividades </w:t>
          </w:r>
          <w:r w:rsidR="00930060" w:rsidRPr="00AD3BC2">
            <w:rPr>
              <w:i/>
              <w:color w:val="1F497D" w:themeColor="text2"/>
              <w:sz w:val="13"/>
              <w:szCs w:val="13"/>
            </w:rPr>
            <w:t>–</w:t>
          </w:r>
          <w:r w:rsidRPr="00AD3BC2">
            <w:rPr>
              <w:i/>
              <w:color w:val="1F497D" w:themeColor="text2"/>
              <w:sz w:val="13"/>
              <w:szCs w:val="13"/>
            </w:rPr>
            <w:t xml:space="preserve"> </w:t>
          </w:r>
          <w:r w:rsidR="004E0066">
            <w:rPr>
              <w:i/>
              <w:color w:val="1F497D" w:themeColor="text2"/>
              <w:sz w:val="13"/>
              <w:szCs w:val="13"/>
            </w:rPr>
            <w:t>2</w:t>
          </w:r>
          <w:r w:rsidRPr="00AD3BC2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 w:rsidR="00AE5161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</w:tc>
    </w:tr>
  </w:tbl>
  <w:p w:rsidR="0043201E" w:rsidRPr="00942066" w:rsidRDefault="0043201E" w:rsidP="00942066">
    <w:pPr>
      <w:pStyle w:val="Cabealho"/>
      <w:rPr>
        <w:color w:val="1F497D" w:themeColor="text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14AE"/>
    <w:multiLevelType w:val="multilevel"/>
    <w:tmpl w:val="331E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444DEC"/>
    <w:multiLevelType w:val="multilevel"/>
    <w:tmpl w:val="E580053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53356BCD"/>
    <w:multiLevelType w:val="singleLevel"/>
    <w:tmpl w:val="CCAC7F1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6A436019"/>
    <w:multiLevelType w:val="singleLevel"/>
    <w:tmpl w:val="E7AC46EA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43201E"/>
    <w:rsid w:val="00006302"/>
    <w:rsid w:val="00056BC4"/>
    <w:rsid w:val="00071810"/>
    <w:rsid w:val="00081A10"/>
    <w:rsid w:val="000A4B87"/>
    <w:rsid w:val="000B639C"/>
    <w:rsid w:val="000C610A"/>
    <w:rsid w:val="000E4B70"/>
    <w:rsid w:val="00126A6A"/>
    <w:rsid w:val="001B28B9"/>
    <w:rsid w:val="002031A1"/>
    <w:rsid w:val="002978C7"/>
    <w:rsid w:val="002B533A"/>
    <w:rsid w:val="002B7F33"/>
    <w:rsid w:val="002C04A8"/>
    <w:rsid w:val="00301F9E"/>
    <w:rsid w:val="00320500"/>
    <w:rsid w:val="00356620"/>
    <w:rsid w:val="00390575"/>
    <w:rsid w:val="003940F7"/>
    <w:rsid w:val="003B693D"/>
    <w:rsid w:val="003C01FD"/>
    <w:rsid w:val="003C32D5"/>
    <w:rsid w:val="003E15AF"/>
    <w:rsid w:val="003F54FE"/>
    <w:rsid w:val="003F5A76"/>
    <w:rsid w:val="00411B7D"/>
    <w:rsid w:val="004245F8"/>
    <w:rsid w:val="0043201E"/>
    <w:rsid w:val="00471B04"/>
    <w:rsid w:val="004A2DD0"/>
    <w:rsid w:val="004B08AF"/>
    <w:rsid w:val="004B2CFF"/>
    <w:rsid w:val="004B6D0C"/>
    <w:rsid w:val="004C4C78"/>
    <w:rsid w:val="004E0066"/>
    <w:rsid w:val="004E7EA7"/>
    <w:rsid w:val="005074E1"/>
    <w:rsid w:val="00520CD1"/>
    <w:rsid w:val="005261BF"/>
    <w:rsid w:val="005A5B96"/>
    <w:rsid w:val="005D4699"/>
    <w:rsid w:val="00622C90"/>
    <w:rsid w:val="0063540E"/>
    <w:rsid w:val="00640A10"/>
    <w:rsid w:val="00665A05"/>
    <w:rsid w:val="00684BEC"/>
    <w:rsid w:val="006A711A"/>
    <w:rsid w:val="006B6091"/>
    <w:rsid w:val="006C5424"/>
    <w:rsid w:val="006C5546"/>
    <w:rsid w:val="006D038C"/>
    <w:rsid w:val="006D69CB"/>
    <w:rsid w:val="006F36D4"/>
    <w:rsid w:val="00723012"/>
    <w:rsid w:val="00733214"/>
    <w:rsid w:val="00765F59"/>
    <w:rsid w:val="00776B66"/>
    <w:rsid w:val="007B61F2"/>
    <w:rsid w:val="007D315A"/>
    <w:rsid w:val="007E7E25"/>
    <w:rsid w:val="008656A7"/>
    <w:rsid w:val="008732A5"/>
    <w:rsid w:val="00895D4C"/>
    <w:rsid w:val="008B008F"/>
    <w:rsid w:val="008B6FBA"/>
    <w:rsid w:val="008B7DDB"/>
    <w:rsid w:val="008C7F0D"/>
    <w:rsid w:val="009053A2"/>
    <w:rsid w:val="009121E0"/>
    <w:rsid w:val="00930060"/>
    <w:rsid w:val="009312C7"/>
    <w:rsid w:val="00941730"/>
    <w:rsid w:val="00942066"/>
    <w:rsid w:val="009C1EE9"/>
    <w:rsid w:val="009C4E4A"/>
    <w:rsid w:val="009C603C"/>
    <w:rsid w:val="009D63B9"/>
    <w:rsid w:val="009E7A56"/>
    <w:rsid w:val="009F1087"/>
    <w:rsid w:val="00A213EE"/>
    <w:rsid w:val="00A33AA6"/>
    <w:rsid w:val="00A951C2"/>
    <w:rsid w:val="00AD3BC2"/>
    <w:rsid w:val="00AE5161"/>
    <w:rsid w:val="00B335AE"/>
    <w:rsid w:val="00B75658"/>
    <w:rsid w:val="00B944A1"/>
    <w:rsid w:val="00BB3F9E"/>
    <w:rsid w:val="00BC0BA7"/>
    <w:rsid w:val="00BC54F5"/>
    <w:rsid w:val="00BF118A"/>
    <w:rsid w:val="00C111D5"/>
    <w:rsid w:val="00C2752A"/>
    <w:rsid w:val="00C36969"/>
    <w:rsid w:val="00C44A5F"/>
    <w:rsid w:val="00C65935"/>
    <w:rsid w:val="00C85B10"/>
    <w:rsid w:val="00CA304D"/>
    <w:rsid w:val="00CB43B4"/>
    <w:rsid w:val="00CD087F"/>
    <w:rsid w:val="00CF48D8"/>
    <w:rsid w:val="00D16E7A"/>
    <w:rsid w:val="00D440D3"/>
    <w:rsid w:val="00D574C8"/>
    <w:rsid w:val="00D75849"/>
    <w:rsid w:val="00DA03BB"/>
    <w:rsid w:val="00DB1AEC"/>
    <w:rsid w:val="00DB41B5"/>
    <w:rsid w:val="00DC0388"/>
    <w:rsid w:val="00DD16B1"/>
    <w:rsid w:val="00DD3114"/>
    <w:rsid w:val="00DD36BD"/>
    <w:rsid w:val="00E9127C"/>
    <w:rsid w:val="00E916AD"/>
    <w:rsid w:val="00E9183E"/>
    <w:rsid w:val="00EB0D83"/>
    <w:rsid w:val="00F30EA3"/>
    <w:rsid w:val="00F8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1E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qFormat/>
    <w:rsid w:val="0043201E"/>
    <w:pPr>
      <w:keepNext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3201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3201E"/>
    <w:pPr>
      <w:jc w:val="right"/>
    </w:pPr>
    <w:rPr>
      <w:rFonts w:ascii="Albertus" w:hAnsi="Albertus"/>
      <w:sz w:val="24"/>
    </w:rPr>
  </w:style>
  <w:style w:type="character" w:customStyle="1" w:styleId="SubttuloChar">
    <w:name w:val="Subtítulo Char"/>
    <w:basedOn w:val="Fontepargpadro"/>
    <w:link w:val="Subttulo"/>
    <w:rsid w:val="0043201E"/>
    <w:rPr>
      <w:rFonts w:ascii="Albertus" w:eastAsia="Times New Roman" w:hAnsi="Albertus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43201E"/>
    <w:pPr>
      <w:ind w:firstLine="1134"/>
      <w:jc w:val="both"/>
    </w:pPr>
    <w:rPr>
      <w:rFonts w:ascii="Albertus" w:hAnsi="Albertus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201E"/>
    <w:rPr>
      <w:rFonts w:ascii="Albertus" w:eastAsia="Times New Roman" w:hAnsi="Albertus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3201E"/>
    <w:pPr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3201E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4320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43201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43201E"/>
  </w:style>
  <w:style w:type="paragraph" w:styleId="Cabealho">
    <w:name w:val="header"/>
    <w:basedOn w:val="Normal"/>
    <w:link w:val="CabealhoChar"/>
    <w:uiPriority w:val="99"/>
    <w:semiHidden/>
    <w:unhideWhenUsed/>
    <w:rsid w:val="004320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20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laudio">
    <w:name w:val="Claudio"/>
    <w:rsid w:val="0043201E"/>
    <w:pPr>
      <w:jc w:val="both"/>
    </w:pPr>
    <w:rPr>
      <w:rFonts w:ascii="Arial" w:eastAsia="Times New Roman" w:hAnsi="Arial"/>
      <w:noProof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0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01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F741F.39A02B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TCSC</dc:creator>
  <cp:lastModifiedBy>TCSC</cp:lastModifiedBy>
  <cp:revision>47</cp:revision>
  <cp:lastPrinted>2014-11-19T19:50:00Z</cp:lastPrinted>
  <dcterms:created xsi:type="dcterms:W3CDTF">2010-12-07T18:39:00Z</dcterms:created>
  <dcterms:modified xsi:type="dcterms:W3CDTF">2015-08-25T18:24:00Z</dcterms:modified>
</cp:coreProperties>
</file>