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07" w:rsidRDefault="00DC0507" w:rsidP="009F78AE">
      <w:pPr>
        <w:pStyle w:val="Subttulo"/>
        <w:jc w:val="left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 xml:space="preserve">       </w:t>
      </w:r>
    </w:p>
    <w:p w:rsidR="00DC0507" w:rsidRPr="00AA6FA7" w:rsidRDefault="00DC0507" w:rsidP="00DC0507">
      <w:pPr>
        <w:pStyle w:val="Subttulo"/>
        <w:tabs>
          <w:tab w:val="left" w:pos="6804"/>
        </w:tabs>
        <w:ind w:left="2552" w:right="-94" w:hanging="2552"/>
        <w:jc w:val="center"/>
        <w:rPr>
          <w:rFonts w:ascii="Arial" w:hAnsi="Arial"/>
          <w:b/>
          <w:color w:val="1F497D" w:themeColor="text2"/>
          <w:sz w:val="22"/>
        </w:rPr>
      </w:pPr>
      <w:r w:rsidRPr="00AA6FA7">
        <w:rPr>
          <w:rFonts w:ascii="Arial" w:hAnsi="Arial"/>
          <w:b/>
          <w:color w:val="1F497D" w:themeColor="text2"/>
          <w:sz w:val="22"/>
        </w:rPr>
        <w:t>2. ATIVIDADES DE CONTROLE EXTERNO</w:t>
      </w:r>
    </w:p>
    <w:p w:rsidR="00DC0507" w:rsidRPr="00AA6FA7" w:rsidRDefault="00DC0507" w:rsidP="00DC0507">
      <w:pPr>
        <w:pStyle w:val="Subttulo"/>
        <w:jc w:val="left"/>
        <w:rPr>
          <w:rFonts w:ascii="Arial" w:hAnsi="Arial"/>
          <w:color w:val="1F497D" w:themeColor="text2"/>
          <w:sz w:val="22"/>
        </w:rPr>
      </w:pP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Tribunal de Contas de Santa Catarina, no exercício do controle externo, de acordo com suas atribuições constitucionais, exerce funções de natureza fiscalizadora, opinativa,  sancionadora e consultiva. </w:t>
      </w: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fiscalizadora tem como objetivo verificar a legalidade, a legitimidade, a eficiência e a economicidade de atos administrativos em geral, bem como o cumprimento das normas relativas à gestão fiscal com vistas a assegurar a eficácia do controle que lhe compete. </w:t>
      </w: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A função opinativa é exercida quando emite o parecer prévio sobre as contas anuais prestadas pelo Governador do Estado e pelos prefeitos municipais.</w:t>
      </w: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função sancionadora manifesta-se, principalmente, na aplicação das multas previstas na Lei Orgânica do Tribunal. </w:t>
      </w:r>
    </w:p>
    <w:p w:rsidR="009F78AE" w:rsidRDefault="009F78AE" w:rsidP="009F78AE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A função consultiva manifesta-se pela orientação através da resposta às consultas sobre a interpretação de lei ou questão formulada, em tese, relativa a matéria sujeita a sua fiscalização, formuladas ao TCE nos termos do art. 59, XII, da Constituição Estadual.</w:t>
      </w: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Também compete ao TCE apurar denúncias sobre supostas irregularidades cometidas em órgãos públicos estaduais e municipais, formuladas com base no art. 62, </w:t>
      </w:r>
      <w:r>
        <w:rPr>
          <w:rFonts w:ascii="Arial" w:hAnsi="Arial" w:cs="Arial"/>
          <w:sz w:val="22"/>
        </w:rPr>
        <w:t>§</w:t>
      </w:r>
      <w:r>
        <w:rPr>
          <w:rFonts w:ascii="Arial" w:hAnsi="Arial"/>
          <w:sz w:val="22"/>
        </w:rPr>
        <w:t xml:space="preserve"> 2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>, da Carta Estadual.</w:t>
      </w:r>
    </w:p>
    <w:p w:rsidR="00DC0507" w:rsidRDefault="00DC0507" w:rsidP="00DC0507">
      <w:pPr>
        <w:pStyle w:val="Subttulo"/>
        <w:jc w:val="both"/>
        <w:rPr>
          <w:rFonts w:ascii="Arial" w:hAnsi="Arial"/>
          <w:sz w:val="18"/>
        </w:rPr>
      </w:pPr>
    </w:p>
    <w:p w:rsidR="00DC0507" w:rsidRDefault="00DC0507" w:rsidP="00DC0507">
      <w:pPr>
        <w:pStyle w:val="Subttulo"/>
        <w:jc w:val="both"/>
        <w:rPr>
          <w:rFonts w:ascii="Arial" w:hAnsi="Arial"/>
          <w:sz w:val="18"/>
        </w:rPr>
      </w:pPr>
    </w:p>
    <w:p w:rsidR="00DC0507" w:rsidRPr="00DF5813" w:rsidRDefault="00DC0507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 xml:space="preserve">2.1. Jurisdição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art. 83 da Constituição Estadual e os arts. 5º e 6º da Lei Orgânica do Tribunal, aprovada em 2000, através da Lei Complementar n° 202, dispõem que estão sob a jurisdição do Tribunal qualquer pessoa física ou jurídica, pública ou privada, que utilize, arrecade, guarde, gerencie ou administre dinheiro, bens e valores públicos ou pelos quais o Estado ou os Municípios respondam, ou que, em nome destes, assuma obrigações de natureza pecuniária. </w:t>
      </w:r>
    </w:p>
    <w:p w:rsidR="00DC0507" w:rsidRDefault="008474D5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</w:t>
      </w:r>
      <w:r w:rsidR="003C3296">
        <w:rPr>
          <w:rFonts w:ascii="Arial" w:hAnsi="Arial"/>
          <w:sz w:val="22"/>
        </w:rPr>
        <w:t>segundo</w:t>
      </w:r>
      <w:r w:rsidR="006B353B">
        <w:rPr>
          <w:rFonts w:ascii="Arial" w:hAnsi="Arial"/>
          <w:sz w:val="22"/>
        </w:rPr>
        <w:t xml:space="preserve"> trimestre de 201</w:t>
      </w:r>
      <w:r w:rsidR="007F2D03">
        <w:rPr>
          <w:rFonts w:ascii="Arial" w:hAnsi="Arial"/>
          <w:sz w:val="22"/>
        </w:rPr>
        <w:t>5</w:t>
      </w:r>
      <w:r w:rsidR="00DC0507">
        <w:rPr>
          <w:rFonts w:ascii="Arial" w:hAnsi="Arial"/>
          <w:sz w:val="22"/>
        </w:rPr>
        <w:t>, estiveram sujeitas à fiscalização pelo TCE/</w:t>
      </w:r>
      <w:r w:rsidR="00DC0507" w:rsidRPr="00E967D7">
        <w:rPr>
          <w:rFonts w:ascii="Arial" w:hAnsi="Arial"/>
          <w:color w:val="000000"/>
          <w:sz w:val="22"/>
        </w:rPr>
        <w:t xml:space="preserve">SC </w:t>
      </w:r>
      <w:r w:rsidR="00587471" w:rsidRPr="00ED478D">
        <w:rPr>
          <w:rFonts w:ascii="Arial" w:hAnsi="Arial"/>
          <w:color w:val="000000" w:themeColor="text1"/>
          <w:sz w:val="22"/>
        </w:rPr>
        <w:t>1.8</w:t>
      </w:r>
      <w:r w:rsidR="00F44F21" w:rsidRPr="00ED478D">
        <w:rPr>
          <w:rFonts w:ascii="Arial" w:hAnsi="Arial"/>
          <w:color w:val="000000" w:themeColor="text1"/>
          <w:sz w:val="22"/>
        </w:rPr>
        <w:t>51</w:t>
      </w:r>
      <w:r w:rsidR="00DC0507" w:rsidRPr="00FF6EDB">
        <w:rPr>
          <w:rFonts w:ascii="Arial" w:hAnsi="Arial"/>
          <w:b/>
          <w:i/>
          <w:sz w:val="22"/>
        </w:rPr>
        <w:t xml:space="preserve"> </w:t>
      </w:r>
      <w:r w:rsidR="00DC0507" w:rsidRPr="00FF6EDB">
        <w:rPr>
          <w:rFonts w:ascii="Arial" w:hAnsi="Arial"/>
          <w:sz w:val="22"/>
        </w:rPr>
        <w:t>unidades</w:t>
      </w:r>
      <w:r w:rsidR="00DC0507">
        <w:rPr>
          <w:rFonts w:ascii="Arial" w:hAnsi="Arial"/>
          <w:sz w:val="22"/>
        </w:rPr>
        <w:t xml:space="preserve">, constituídas de órgãos e entidades estaduais e municipais.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</w:tblGrid>
      <w:tr w:rsidR="009875DA" w:rsidRPr="00AC38FA" w:rsidTr="00EE6D2E">
        <w:trPr>
          <w:cantSplit/>
        </w:trPr>
        <w:tc>
          <w:tcPr>
            <w:tcW w:w="2268" w:type="dxa"/>
          </w:tcPr>
          <w:p w:rsidR="009875DA" w:rsidRPr="00AC38FA" w:rsidRDefault="009875DA" w:rsidP="00EE6D2E">
            <w:pPr>
              <w:ind w:right="922"/>
              <w:jc w:val="right"/>
              <w:rPr>
                <w:rFonts w:ascii="Arial" w:hAnsi="Arial"/>
                <w:sz w:val="16"/>
              </w:rPr>
            </w:pPr>
          </w:p>
        </w:tc>
      </w:tr>
      <w:tr w:rsidR="009875DA" w:rsidRPr="00AC38FA" w:rsidTr="00EE6D2E">
        <w:trPr>
          <w:cantSplit/>
        </w:trPr>
        <w:tc>
          <w:tcPr>
            <w:tcW w:w="2268" w:type="dxa"/>
          </w:tcPr>
          <w:p w:rsidR="009875DA" w:rsidRPr="00AC38FA" w:rsidRDefault="009875DA" w:rsidP="00EE6D2E">
            <w:pPr>
              <w:ind w:right="922"/>
              <w:jc w:val="right"/>
              <w:rPr>
                <w:rFonts w:ascii="Arial" w:hAnsi="Arial"/>
                <w:sz w:val="16"/>
              </w:rPr>
            </w:pPr>
          </w:p>
        </w:tc>
      </w:tr>
      <w:tr w:rsidR="009875DA" w:rsidRPr="00AC38FA" w:rsidTr="00EE6D2E">
        <w:trPr>
          <w:cantSplit/>
        </w:trPr>
        <w:tc>
          <w:tcPr>
            <w:tcW w:w="2268" w:type="dxa"/>
          </w:tcPr>
          <w:p w:rsidR="009875DA" w:rsidRPr="00AC38FA" w:rsidRDefault="009875DA" w:rsidP="00EE6D2E">
            <w:pPr>
              <w:ind w:right="922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C0507" w:rsidRPr="00D537F1" w:rsidRDefault="00DC0507" w:rsidP="00D537F1">
      <w:pPr>
        <w:pStyle w:val="Ttulo"/>
        <w:jc w:val="left"/>
        <w:rPr>
          <w:rFonts w:ascii="Arial" w:hAnsi="Arial"/>
          <w:b/>
          <w:color w:val="1F497D" w:themeColor="text2"/>
          <w:sz w:val="22"/>
        </w:rPr>
      </w:pPr>
      <w:r w:rsidRPr="00D537F1">
        <w:rPr>
          <w:rFonts w:ascii="Arial" w:hAnsi="Arial"/>
          <w:b/>
          <w:color w:val="1F497D" w:themeColor="text2"/>
          <w:sz w:val="22"/>
        </w:rPr>
        <w:t xml:space="preserve">TABELA 03 - UNIDADES JURISDICIONADAS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260"/>
        <w:gridCol w:w="2268"/>
        <w:gridCol w:w="2268"/>
      </w:tblGrid>
      <w:tr w:rsidR="00DC0507" w:rsidRPr="00AA6FA7" w:rsidTr="00AF51ED">
        <w:trPr>
          <w:cantSplit/>
        </w:trPr>
        <w:tc>
          <w:tcPr>
            <w:tcW w:w="1063" w:type="dxa"/>
            <w:vMerge w:val="restart"/>
            <w:tcBorders>
              <w:top w:val="single" w:sz="12" w:space="0" w:color="1F497D" w:themeColor="text2"/>
            </w:tcBorders>
            <w:shd w:val="clear" w:color="auto" w:fill="1F497D" w:themeFill="text2"/>
            <w:vAlign w:val="center"/>
          </w:tcPr>
          <w:p w:rsidR="00DC0507" w:rsidRPr="00AA6FA7" w:rsidRDefault="00DC0507" w:rsidP="000721EC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ÂMBITO</w:t>
            </w:r>
          </w:p>
        </w:tc>
        <w:tc>
          <w:tcPr>
            <w:tcW w:w="3260" w:type="dxa"/>
            <w:vMerge w:val="restart"/>
            <w:tcBorders>
              <w:top w:val="single" w:sz="12" w:space="0" w:color="1F497D" w:themeColor="text2"/>
            </w:tcBorders>
            <w:shd w:val="clear" w:color="auto" w:fill="1F497D" w:themeFill="text2"/>
            <w:vAlign w:val="center"/>
          </w:tcPr>
          <w:p w:rsidR="00DC0507" w:rsidRPr="00AA6FA7" w:rsidRDefault="00DC0507" w:rsidP="000721EC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NATUREZA</w:t>
            </w:r>
          </w:p>
        </w:tc>
        <w:tc>
          <w:tcPr>
            <w:tcW w:w="4536" w:type="dxa"/>
            <w:gridSpan w:val="2"/>
            <w:tcBorders>
              <w:top w:val="single" w:sz="12" w:space="0" w:color="1F497D" w:themeColor="text2"/>
            </w:tcBorders>
            <w:shd w:val="clear" w:color="auto" w:fill="1F497D" w:themeFill="text2"/>
          </w:tcPr>
          <w:p w:rsidR="00DC0507" w:rsidRPr="00AA6FA7" w:rsidRDefault="00DC0507" w:rsidP="000721EC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QUANTIDADE</w:t>
            </w:r>
          </w:p>
        </w:tc>
      </w:tr>
      <w:tr w:rsidR="00DC0507" w:rsidRPr="00AA6FA7" w:rsidTr="00AF51ED">
        <w:trPr>
          <w:cantSplit/>
        </w:trPr>
        <w:tc>
          <w:tcPr>
            <w:tcW w:w="1063" w:type="dxa"/>
            <w:vMerge/>
            <w:shd w:val="pct25" w:color="auto" w:fill="1F497D" w:themeFill="text2"/>
          </w:tcPr>
          <w:p w:rsidR="00DC0507" w:rsidRPr="00AA6FA7" w:rsidRDefault="00DC0507" w:rsidP="000721EC">
            <w:pPr>
              <w:pStyle w:val="Subttulo"/>
              <w:jc w:val="left"/>
              <w:rPr>
                <w:rFonts w:ascii="Arial" w:hAnsi="Arial"/>
                <w:color w:val="FFFFFF" w:themeColor="background1"/>
                <w:sz w:val="12"/>
              </w:rPr>
            </w:pPr>
          </w:p>
        </w:tc>
        <w:tc>
          <w:tcPr>
            <w:tcW w:w="3260" w:type="dxa"/>
            <w:vMerge/>
            <w:shd w:val="pct25" w:color="auto" w:fill="1F497D" w:themeFill="text2"/>
            <w:vAlign w:val="center"/>
          </w:tcPr>
          <w:p w:rsidR="00DC0507" w:rsidRPr="00AA6FA7" w:rsidRDefault="00DC0507" w:rsidP="000721EC">
            <w:pPr>
              <w:pStyle w:val="Subttulo"/>
              <w:jc w:val="left"/>
              <w:rPr>
                <w:rFonts w:ascii="Arial" w:hAnsi="Arial"/>
                <w:color w:val="FFFFFF" w:themeColor="background1"/>
                <w:sz w:val="12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:rsidR="00DC0507" w:rsidRPr="00AA6FA7" w:rsidRDefault="003C3296" w:rsidP="007F2D03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2</w:t>
            </w:r>
            <w:r w:rsidR="008A5233"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° trimestre de 201</w:t>
            </w:r>
            <w:r w:rsidR="007F2D0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4</w:t>
            </w:r>
          </w:p>
        </w:tc>
        <w:tc>
          <w:tcPr>
            <w:tcW w:w="2268" w:type="dxa"/>
            <w:shd w:val="clear" w:color="auto" w:fill="1F497D" w:themeFill="text2"/>
          </w:tcPr>
          <w:p w:rsidR="00DC0507" w:rsidRPr="00AA6FA7" w:rsidRDefault="003C3296" w:rsidP="007F2D03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2</w:t>
            </w:r>
            <w:r w:rsidR="00DC0507"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° trimestre de 201</w:t>
            </w:r>
            <w:r w:rsidR="007F2D0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5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 w:val="restart"/>
          </w:tcPr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snapToGrid w:val="0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snapToGrid w:val="0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A6FA7">
              <w:rPr>
                <w:rFonts w:ascii="Arial" w:hAnsi="Arial"/>
                <w:b/>
                <w:snapToGrid w:val="0"/>
                <w:color w:val="1F497D" w:themeColor="text2"/>
                <w:sz w:val="16"/>
              </w:rPr>
              <w:t>MUNICIPAL</w:t>
            </w: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Prefeituras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color w:val="000000" w:themeColor="text1"/>
                <w:sz w:val="16"/>
              </w:rPr>
              <w:t>295</w:t>
            </w:r>
          </w:p>
        </w:tc>
        <w:tc>
          <w:tcPr>
            <w:tcW w:w="2268" w:type="dxa"/>
          </w:tcPr>
          <w:p w:rsidR="008C48A4" w:rsidRPr="00587471" w:rsidRDefault="008C48A4" w:rsidP="000721EC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587471">
              <w:rPr>
                <w:rFonts w:ascii="Arial" w:hAnsi="Arial"/>
                <w:sz w:val="16"/>
              </w:rPr>
              <w:t>295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Fundos</w:t>
            </w:r>
          </w:p>
        </w:tc>
        <w:tc>
          <w:tcPr>
            <w:tcW w:w="2268" w:type="dxa"/>
          </w:tcPr>
          <w:p w:rsidR="008C48A4" w:rsidRPr="00744E58" w:rsidRDefault="008C48A4" w:rsidP="00F2537E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color w:val="000000" w:themeColor="text1"/>
                <w:sz w:val="16"/>
              </w:rPr>
              <w:t>8</w:t>
            </w:r>
            <w:r w:rsidR="00F2537E">
              <w:rPr>
                <w:rFonts w:ascii="Arial" w:hAnsi="Arial"/>
                <w:color w:val="000000" w:themeColor="text1"/>
                <w:sz w:val="16"/>
              </w:rPr>
              <w:t>11</w:t>
            </w:r>
          </w:p>
        </w:tc>
        <w:tc>
          <w:tcPr>
            <w:tcW w:w="2268" w:type="dxa"/>
          </w:tcPr>
          <w:p w:rsidR="008C48A4" w:rsidRPr="00587471" w:rsidRDefault="00587471" w:rsidP="00ED478D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587471">
              <w:rPr>
                <w:rFonts w:ascii="Arial" w:hAnsi="Arial"/>
                <w:sz w:val="16"/>
              </w:rPr>
              <w:t>81</w:t>
            </w:r>
            <w:r w:rsidR="00ED478D">
              <w:rPr>
                <w:rFonts w:ascii="Arial" w:hAnsi="Arial"/>
                <w:sz w:val="16"/>
              </w:rPr>
              <w:t>7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Autarquias</w:t>
            </w:r>
          </w:p>
        </w:tc>
        <w:tc>
          <w:tcPr>
            <w:tcW w:w="2268" w:type="dxa"/>
          </w:tcPr>
          <w:p w:rsidR="008C48A4" w:rsidRPr="00744E58" w:rsidRDefault="008C48A4" w:rsidP="00F2537E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color w:val="000000" w:themeColor="text1"/>
                <w:sz w:val="16"/>
              </w:rPr>
              <w:t>1</w:t>
            </w:r>
            <w:r w:rsidR="00F2537E">
              <w:rPr>
                <w:rFonts w:ascii="Arial" w:hAnsi="Arial"/>
                <w:color w:val="000000" w:themeColor="text1"/>
                <w:sz w:val="16"/>
              </w:rPr>
              <w:t>41</w:t>
            </w:r>
          </w:p>
        </w:tc>
        <w:tc>
          <w:tcPr>
            <w:tcW w:w="2268" w:type="dxa"/>
          </w:tcPr>
          <w:p w:rsidR="008C48A4" w:rsidRPr="00587471" w:rsidRDefault="00587471" w:rsidP="00ED478D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587471">
              <w:rPr>
                <w:rFonts w:ascii="Arial" w:hAnsi="Arial"/>
                <w:sz w:val="16"/>
              </w:rPr>
              <w:t>14</w:t>
            </w:r>
            <w:r w:rsidR="00ED478D">
              <w:rPr>
                <w:rFonts w:ascii="Arial" w:hAnsi="Arial"/>
                <w:sz w:val="16"/>
              </w:rPr>
              <w:t>2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Fundações</w:t>
            </w:r>
          </w:p>
        </w:tc>
        <w:tc>
          <w:tcPr>
            <w:tcW w:w="2268" w:type="dxa"/>
          </w:tcPr>
          <w:p w:rsidR="008C48A4" w:rsidRPr="00744E58" w:rsidRDefault="008C48A4" w:rsidP="00F44F21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color w:val="000000" w:themeColor="text1"/>
                <w:sz w:val="16"/>
              </w:rPr>
              <w:t>14</w:t>
            </w:r>
            <w:r w:rsidR="00F44F21">
              <w:rPr>
                <w:rFonts w:ascii="Arial" w:hAnsi="Arial"/>
                <w:color w:val="000000" w:themeColor="text1"/>
                <w:sz w:val="16"/>
              </w:rPr>
              <w:t>7</w:t>
            </w:r>
          </w:p>
        </w:tc>
        <w:tc>
          <w:tcPr>
            <w:tcW w:w="2268" w:type="dxa"/>
          </w:tcPr>
          <w:p w:rsidR="008C48A4" w:rsidRPr="00587471" w:rsidRDefault="008C48A4" w:rsidP="00ED478D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587471">
              <w:rPr>
                <w:rFonts w:ascii="Arial" w:hAnsi="Arial"/>
                <w:sz w:val="16"/>
              </w:rPr>
              <w:t>1</w:t>
            </w:r>
            <w:r w:rsidR="00DC5512">
              <w:rPr>
                <w:rFonts w:ascii="Arial" w:hAnsi="Arial"/>
                <w:sz w:val="16"/>
              </w:rPr>
              <w:t>4</w:t>
            </w:r>
            <w:r w:rsidR="00ED478D">
              <w:rPr>
                <w:rFonts w:ascii="Arial" w:hAnsi="Arial"/>
                <w:sz w:val="16"/>
              </w:rPr>
              <w:t>9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0C5415" w:rsidRDefault="008C48A4" w:rsidP="002E2D9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0C5415">
              <w:rPr>
                <w:rFonts w:ascii="Arial" w:hAnsi="Arial"/>
                <w:snapToGrid w:val="0"/>
                <w:color w:val="000000"/>
                <w:sz w:val="16"/>
              </w:rPr>
              <w:t>Sociedade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s </w:t>
            </w:r>
            <w:r w:rsidRPr="000C5415">
              <w:rPr>
                <w:rFonts w:ascii="Arial" w:hAnsi="Arial"/>
                <w:snapToGrid w:val="0"/>
                <w:color w:val="000000"/>
                <w:sz w:val="16"/>
              </w:rPr>
              <w:t xml:space="preserve">de Economia Mista 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16</w:t>
            </w:r>
          </w:p>
        </w:tc>
        <w:tc>
          <w:tcPr>
            <w:tcW w:w="2268" w:type="dxa"/>
          </w:tcPr>
          <w:p w:rsidR="008C48A4" w:rsidRPr="00587471" w:rsidRDefault="00587471" w:rsidP="00ED478D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  <w:r w:rsidR="00ED478D">
              <w:rPr>
                <w:rFonts w:ascii="Arial" w:hAnsi="Arial"/>
                <w:snapToGrid w:val="0"/>
                <w:sz w:val="16"/>
              </w:rPr>
              <w:t>7</w:t>
            </w:r>
          </w:p>
        </w:tc>
      </w:tr>
      <w:tr w:rsidR="008C48A4" w:rsidTr="00347CC5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Câmaras </w:t>
            </w:r>
          </w:p>
        </w:tc>
        <w:tc>
          <w:tcPr>
            <w:tcW w:w="2268" w:type="dxa"/>
          </w:tcPr>
          <w:p w:rsidR="008C48A4" w:rsidRPr="00744E58" w:rsidRDefault="008C48A4" w:rsidP="00E638CD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color w:val="000000" w:themeColor="text1"/>
                <w:sz w:val="16"/>
              </w:rPr>
              <w:t>2</w:t>
            </w:r>
            <w:r w:rsidR="00E638CD" w:rsidRPr="00744E58">
              <w:rPr>
                <w:rFonts w:ascii="Arial" w:hAnsi="Arial"/>
                <w:color w:val="000000" w:themeColor="text1"/>
                <w:sz w:val="16"/>
              </w:rPr>
              <w:t>95</w:t>
            </w:r>
          </w:p>
        </w:tc>
        <w:tc>
          <w:tcPr>
            <w:tcW w:w="2268" w:type="dxa"/>
          </w:tcPr>
          <w:p w:rsidR="008C48A4" w:rsidRPr="00587471" w:rsidRDefault="008C48A4" w:rsidP="007C39C6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587471">
              <w:rPr>
                <w:rFonts w:ascii="Arial" w:hAnsi="Arial"/>
                <w:sz w:val="16"/>
              </w:rPr>
              <w:t>295</w:t>
            </w:r>
          </w:p>
        </w:tc>
      </w:tr>
      <w:tr w:rsidR="008C48A4" w:rsidRPr="00347CC5" w:rsidTr="00347CC5">
        <w:tc>
          <w:tcPr>
            <w:tcW w:w="1063" w:type="dxa"/>
            <w:shd w:val="clear" w:color="auto" w:fill="1F497D" w:themeFill="text2"/>
          </w:tcPr>
          <w:p w:rsidR="008C48A4" w:rsidRPr="00347CC5" w:rsidRDefault="008C48A4" w:rsidP="000721EC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3260" w:type="dxa"/>
            <w:shd w:val="clear" w:color="auto" w:fill="1F497D" w:themeFill="text2"/>
          </w:tcPr>
          <w:p w:rsidR="008C48A4" w:rsidRPr="00347CC5" w:rsidRDefault="008C48A4" w:rsidP="000721EC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347CC5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Sub-Total</w:t>
            </w:r>
          </w:p>
        </w:tc>
        <w:tc>
          <w:tcPr>
            <w:tcW w:w="2268" w:type="dxa"/>
            <w:shd w:val="clear" w:color="auto" w:fill="1F497D" w:themeFill="text2"/>
          </w:tcPr>
          <w:p w:rsidR="008C48A4" w:rsidRPr="00347CC5" w:rsidRDefault="008C48A4" w:rsidP="00F2537E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347CC5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</w:t>
            </w:r>
            <w:r w:rsidR="00744E58" w:rsidRPr="00347CC5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.</w:t>
            </w:r>
            <w:r w:rsidR="00F2537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705</w:t>
            </w:r>
          </w:p>
        </w:tc>
        <w:tc>
          <w:tcPr>
            <w:tcW w:w="2268" w:type="dxa"/>
            <w:shd w:val="clear" w:color="auto" w:fill="1F497D" w:themeFill="text2"/>
          </w:tcPr>
          <w:p w:rsidR="008C48A4" w:rsidRPr="00347CC5" w:rsidRDefault="008C48A4" w:rsidP="00DC5512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347CC5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1.</w:t>
            </w:r>
            <w:r w:rsidR="00587471" w:rsidRPr="00347CC5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7</w:t>
            </w:r>
            <w:r w:rsidR="00C10D8F" w:rsidRPr="00347CC5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</w:t>
            </w:r>
            <w:r w:rsidR="00DC5512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5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 w:val="restart"/>
          </w:tcPr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A6FA7">
              <w:rPr>
                <w:rFonts w:ascii="Arial" w:hAnsi="Arial"/>
                <w:b/>
                <w:color w:val="1F497D" w:themeColor="text2"/>
                <w:sz w:val="16"/>
              </w:rPr>
              <w:t>ESTADUAL</w:t>
            </w: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Administração Direta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18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18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Assembléia Legislativa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Autarquias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7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7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Fundações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6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6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Fundos Especiais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41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41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Gabinete do Governador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Gabinete do Vice-Governador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Procuradoria Geral de Justiça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Procuradoria Geral do Estado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Procuradoria Geral junto ao TCE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Secretarias Regionais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36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36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Sociedades de Economia Mista 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20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20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Tribunal de Contas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</w:p>
        </w:tc>
      </w:tr>
      <w:tr w:rsidR="008C48A4" w:rsidTr="00AA6FA7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Tribunal de Justiça</w:t>
            </w:r>
          </w:p>
        </w:tc>
        <w:tc>
          <w:tcPr>
            <w:tcW w:w="2268" w:type="dxa"/>
          </w:tcPr>
          <w:p w:rsidR="008C48A4" w:rsidRPr="00744E58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44E58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587471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sz w:val="16"/>
              </w:rPr>
            </w:pPr>
            <w:r w:rsidRPr="00587471">
              <w:rPr>
                <w:rFonts w:ascii="Arial" w:hAnsi="Arial"/>
                <w:snapToGrid w:val="0"/>
                <w:sz w:val="16"/>
              </w:rPr>
              <w:t>1</w:t>
            </w:r>
          </w:p>
        </w:tc>
      </w:tr>
      <w:tr w:rsidR="008C48A4" w:rsidRPr="00AA6FA7" w:rsidTr="00AA6FA7">
        <w:tc>
          <w:tcPr>
            <w:tcW w:w="1063" w:type="dxa"/>
            <w:tcBorders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FFFFFF" w:themeColor="background1"/>
                <w:sz w:val="12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8C48A4" w:rsidP="000721EC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  <w:lang w:val="en-US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  <w:lang w:val="en-US"/>
              </w:rPr>
              <w:t>Sub-Total</w:t>
            </w:r>
          </w:p>
        </w:tc>
        <w:tc>
          <w:tcPr>
            <w:tcW w:w="2268" w:type="dxa"/>
            <w:tcBorders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744E58" w:rsidRDefault="008C48A4" w:rsidP="008C48A4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744E58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136</w:t>
            </w:r>
          </w:p>
        </w:tc>
        <w:tc>
          <w:tcPr>
            <w:tcW w:w="2268" w:type="dxa"/>
            <w:tcBorders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C75F51" w:rsidP="00FF6EDB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13</w:t>
            </w:r>
            <w:r w:rsidR="00FF6EDB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6</w:t>
            </w:r>
          </w:p>
        </w:tc>
      </w:tr>
      <w:tr w:rsidR="008C48A4" w:rsidRPr="00AA6FA7" w:rsidTr="00AA6FA7">
        <w:tc>
          <w:tcPr>
            <w:tcW w:w="106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FFFFFF" w:themeColor="background1"/>
                <w:sz w:val="1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8C48A4" w:rsidP="000721EC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  <w:lang w:val="en-US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  <w:lang w:val="en-US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744E58" w:rsidRDefault="008C48A4" w:rsidP="00F2537E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744E58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1.</w:t>
            </w:r>
            <w:r w:rsidR="00E638CD" w:rsidRPr="00744E58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8</w:t>
            </w:r>
            <w:r w:rsidR="00F2537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41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C75F51" w:rsidP="00F44F21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1.8</w:t>
            </w:r>
            <w:r w:rsidR="00F44F21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51</w:t>
            </w:r>
          </w:p>
        </w:tc>
      </w:tr>
    </w:tbl>
    <w:p w:rsidR="00DC0507" w:rsidRDefault="00DC0507" w:rsidP="00DC0507">
      <w:pPr>
        <w:pStyle w:val="Subttulo"/>
        <w:ind w:left="-142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Fonte: Diretoria de Controle da Administração Estadual (DCE) e Diretoria de Controle da Administração Municipal (DMU) /  Obs: Situação ao final do </w:t>
      </w:r>
      <w:r w:rsidR="00ED478D">
        <w:rPr>
          <w:rFonts w:ascii="Arial" w:hAnsi="Arial"/>
          <w:sz w:val="12"/>
        </w:rPr>
        <w:t>segundo</w:t>
      </w:r>
      <w:r w:rsidR="00C10D8F">
        <w:rPr>
          <w:rFonts w:ascii="Arial" w:hAnsi="Arial"/>
          <w:sz w:val="12"/>
        </w:rPr>
        <w:t xml:space="preserve"> </w:t>
      </w:r>
      <w:r>
        <w:rPr>
          <w:rFonts w:ascii="Arial" w:hAnsi="Arial"/>
          <w:sz w:val="12"/>
        </w:rPr>
        <w:t xml:space="preserve"> trimestre.</w:t>
      </w:r>
    </w:p>
    <w:p w:rsidR="006A7E6A" w:rsidRDefault="006A7E6A" w:rsidP="006A7E6A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6A7E6A">
      <w:pPr>
        <w:pStyle w:val="Subttulo"/>
        <w:jc w:val="both"/>
        <w:rPr>
          <w:rFonts w:ascii="Arial" w:hAnsi="Arial"/>
          <w:b/>
          <w:sz w:val="22"/>
        </w:rPr>
      </w:pPr>
    </w:p>
    <w:p w:rsidR="006A7E6A" w:rsidRPr="00DF5813" w:rsidRDefault="003927C4" w:rsidP="006A7E6A">
      <w:pPr>
        <w:pStyle w:val="Subttulo"/>
        <w:jc w:val="both"/>
        <w:rPr>
          <w:rFonts w:ascii="Arial" w:hAnsi="Arial"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2.2.</w:t>
      </w:r>
      <w:r w:rsidR="006A7E6A" w:rsidRPr="00DF5813">
        <w:rPr>
          <w:rFonts w:ascii="Arial" w:hAnsi="Arial"/>
          <w:color w:val="1F497D" w:themeColor="text2"/>
          <w:sz w:val="22"/>
        </w:rPr>
        <w:t xml:space="preserve"> </w:t>
      </w:r>
      <w:r w:rsidR="006A7E6A" w:rsidRPr="00DF5813">
        <w:rPr>
          <w:rFonts w:ascii="Arial" w:hAnsi="Arial"/>
          <w:b/>
          <w:color w:val="1F497D" w:themeColor="text2"/>
          <w:sz w:val="22"/>
        </w:rPr>
        <w:t>Sessões Plenárias</w:t>
      </w:r>
    </w:p>
    <w:p w:rsidR="006A7E6A" w:rsidRDefault="00AC30BF" w:rsidP="006A7E6A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8.15pt;margin-top:10.95pt;width:117pt;height:98.5pt;z-index:-251653120;mso-wrap-edited:f" fillcolor="#1f497d [3215]" stroked="f">
            <v:textbox style="mso-next-textbox:#_x0000_s1034" inset="3mm,,3mm">
              <w:txbxContent>
                <w:p w:rsidR="006745AA" w:rsidRPr="000B66DC" w:rsidRDefault="006745AA" w:rsidP="006A7E6A">
                  <w:pPr>
                    <w:ind w:hanging="142"/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0B66DC">
                    <w:rPr>
                      <w:rFonts w:ascii="Arial" w:hAnsi="Arial" w:cs="Arial"/>
                      <w:b/>
                      <w:color w:val="FFFFFF"/>
                    </w:rPr>
                    <w:t xml:space="preserve">Sessões no </w:t>
                  </w:r>
                </w:p>
                <w:p w:rsidR="006745AA" w:rsidRPr="000B66DC" w:rsidRDefault="006745AA" w:rsidP="006A7E6A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>2</w:t>
                  </w:r>
                  <w:r w:rsidRPr="00E42585">
                    <w:rPr>
                      <w:rFonts w:ascii="Arial" w:hAnsi="Arial" w:cs="Arial"/>
                      <w:b/>
                      <w:color w:val="FFFFFF"/>
                    </w:rPr>
                    <w:t>°</w:t>
                  </w:r>
                  <w:r w:rsidRPr="000B66DC">
                    <w:rPr>
                      <w:rFonts w:ascii="Arial" w:hAnsi="Arial" w:cs="Arial"/>
                      <w:b/>
                      <w:color w:val="FFFFFF"/>
                    </w:rPr>
                    <w:t xml:space="preserve"> trimestre de 20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15</w:t>
                  </w:r>
                </w:p>
                <w:p w:rsidR="006745AA" w:rsidRPr="000B66DC" w:rsidRDefault="006745AA" w:rsidP="006A7E6A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</w:p>
                <w:p w:rsidR="006745AA" w:rsidRDefault="006745AA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6745AA" w:rsidRDefault="006745AA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 w:rsidRPr="000B66DC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Ordinárias </w:t>
                  </w: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           24</w:t>
                  </w:r>
                </w:p>
                <w:p w:rsidR="006745AA" w:rsidRDefault="006745AA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>Administrativa       1</w:t>
                  </w:r>
                </w:p>
                <w:p w:rsidR="006745AA" w:rsidRDefault="006745AA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Extraordinária        1          </w:t>
                  </w:r>
                </w:p>
                <w:p w:rsidR="006745AA" w:rsidRDefault="006745AA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6745AA" w:rsidRDefault="006745AA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6745AA" w:rsidRDefault="006745AA" w:rsidP="006A7E6A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  <w:p w:rsidR="006745AA" w:rsidRDefault="006745AA" w:rsidP="006A7E6A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  <w:p w:rsidR="006745AA" w:rsidRPr="000B66DC" w:rsidRDefault="006745AA" w:rsidP="006A7E6A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0B66DC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Fonte: SEG</w:t>
                  </w:r>
                </w:p>
              </w:txbxContent>
            </v:textbox>
            <w10:wrap type="square"/>
          </v:shape>
        </w:pict>
      </w:r>
    </w:p>
    <w:p w:rsidR="006A7E6A" w:rsidRDefault="00AC30BF" w:rsidP="006A7E6A">
      <w:pPr>
        <w:pStyle w:val="Corpodetexto"/>
        <w:ind w:firstLine="1134"/>
        <w:rPr>
          <w:rFonts w:ascii="Arial" w:hAnsi="Arial"/>
          <w:sz w:val="22"/>
        </w:rPr>
      </w:pPr>
      <w:r w:rsidRPr="00AC30BF">
        <w:rPr>
          <w:rFonts w:ascii="Arial" w:hAnsi="Arial"/>
          <w:noProof/>
        </w:rPr>
        <w:pict>
          <v:rect id="_x0000_s1033" style="position:absolute;left:0;text-align:left;margin-left:338.15pt;margin-top:12.15pt;width:117pt;height:84.65pt;z-index:-251654144;mso-wrap-edited:f" fillcolor="#930" strokecolor="silver" strokeweight="2.25pt">
            <w10:wrap type="square"/>
          </v:rect>
        </w:pict>
      </w:r>
      <w:r w:rsidRPr="00AC30BF">
        <w:rPr>
          <w:rFonts w:ascii="Arial" w:hAnsi="Arial"/>
          <w:noProof/>
        </w:rPr>
        <w:pict>
          <v:shape id="_x0000_s1035" type="#_x0000_t202" style="position:absolute;left:0;text-align:left;margin-left:-126pt;margin-top:84pt;width:54pt;height:18pt;z-index:251664384" o:allowincell="f" filled="f" stroked="f">
            <v:textbox style="mso-next-textbox:#_x0000_s1035">
              <w:txbxContent>
                <w:p w:rsidR="006745AA" w:rsidRPr="000B66DC" w:rsidRDefault="006745AA" w:rsidP="006A7E6A"/>
              </w:txbxContent>
            </v:textbox>
          </v:shape>
        </w:pict>
      </w:r>
      <w:r w:rsidR="006A7E6A">
        <w:rPr>
          <w:rFonts w:ascii="Arial" w:hAnsi="Arial"/>
          <w:sz w:val="22"/>
        </w:rPr>
        <w:t xml:space="preserve">O Tribunal Pleno é órgão deliberativo do TCE/SC, reunindo-se ordinária e extraordinariamente, quando necessário, em sessões abertas ao público. As sessões ordinárias do Tribunal Pleno são realizadas nas segundas e quartas-feiras e presididas pelo Conselheiro-Presidente. A pauta das sessões é publicada, com antecedência, no Diário Oficial Eletrônico  - DOTC, </w:t>
      </w:r>
      <w:r w:rsidR="006A7E6A">
        <w:rPr>
          <w:rFonts w:ascii="Arial" w:hAnsi="Arial"/>
          <w:sz w:val="22"/>
        </w:rPr>
        <w:tab/>
        <w:t xml:space="preserve">veículo de publicação e divulgação dos atos processuais e administrativos do Tribunal de Contas, podendo ser consultada no endereço eletrônico: </w:t>
      </w:r>
      <w:r w:rsidR="006A7E6A">
        <w:rPr>
          <w:rFonts w:ascii="Arial" w:hAnsi="Arial"/>
          <w:i/>
          <w:sz w:val="22"/>
        </w:rPr>
        <w:t>www.tce.sc.gov.br</w:t>
      </w:r>
    </w:p>
    <w:p w:rsidR="00DC0507" w:rsidRDefault="00DC0507" w:rsidP="003927C4">
      <w:pPr>
        <w:pStyle w:val="Recuodecorpodetexto"/>
      </w:pPr>
    </w:p>
    <w:p w:rsidR="00A35A98" w:rsidRPr="00DF5813" w:rsidRDefault="006A7E6A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2.3. Deliberações</w:t>
      </w:r>
    </w:p>
    <w:p w:rsidR="006A7E6A" w:rsidRDefault="00AC30BF" w:rsidP="006A7E6A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37" style="position:absolute;left:0;text-align:left;margin-left:212.15pt;margin-top:46.25pt;width:259.2pt;height:135.25pt;z-index:-251649024;mso-wrap-edited:f" o:allowincell="f" fillcolor="#1f497d [3215]" strokecolor="#1f497d [3215]" strokeweight="1.5pt"/>
        </w:pict>
      </w:r>
      <w:r w:rsidR="006A7E6A">
        <w:rPr>
          <w:rFonts w:ascii="Arial" w:hAnsi="Arial"/>
          <w:sz w:val="22"/>
        </w:rPr>
        <w:t>As decisões constituem-se em atos deliberativos do Tribunal Pleno baseados na instrução técnica, na manifestação do Ministério Público e no parecer do Conselheiro Relator. Podem tomar a forma de: Acórdãos, Pareceres, Decisões, Resoluções, Instruções Normativas e Decisões Normativas.</w:t>
      </w:r>
    </w:p>
    <w:p w:rsidR="006A7E6A" w:rsidRDefault="00AC30BF" w:rsidP="006A7E6A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 id="_x0000_s1036" type="#_x0000_t202" style="position:absolute;left:0;text-align:left;margin-left:212.15pt;margin-top:9.25pt;width:264.15pt;height:128.25pt;z-index:251666432" o:allowincell="f" filled="f" stroked="f">
            <v:textbox style="mso-next-textbox:#_x0000_s1036" inset="1.5mm,,1.5mm,0">
              <w:txbxContent>
                <w:p w:rsidR="006745AA" w:rsidRPr="00AF51ED" w:rsidRDefault="006745AA" w:rsidP="006A7E6A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Deliberações no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2</w:t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° trimestre de 201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5</w:t>
                  </w:r>
                </w:p>
                <w:p w:rsidR="006745AA" w:rsidRPr="008458B1" w:rsidRDefault="006745AA" w:rsidP="006A7E6A">
                  <w:pPr>
                    <w:rPr>
                      <w:rFonts w:ascii="Arial" w:hAnsi="Arial"/>
                      <w:b/>
                      <w:color w:val="800000"/>
                      <w:sz w:val="17"/>
                      <w:szCs w:val="17"/>
                    </w:rPr>
                  </w:pPr>
                </w:p>
                <w:p w:rsidR="006745AA" w:rsidRPr="00AF51ED" w:rsidRDefault="006745AA" w:rsidP="006A7E6A">
                  <w:pPr>
                    <w:rPr>
                      <w:rFonts w:ascii="Arial" w:hAnsi="Arial"/>
                      <w:b/>
                      <w:color w:val="FFFFFF" w:themeColor="background1"/>
                      <w:sz w:val="16"/>
                    </w:rPr>
                  </w:pP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7"/>
                      <w:szCs w:val="17"/>
                    </w:rPr>
                    <w:t>Sessões</w:t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7"/>
                      <w:szCs w:val="17"/>
                    </w:rPr>
                    <w:tab/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</w:rPr>
                    <w:tab/>
                  </w:r>
                </w:p>
                <w:p w:rsidR="006745AA" w:rsidRPr="00AF51ED" w:rsidRDefault="006745AA" w:rsidP="006A7E6A">
                  <w:pPr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6"/>
                    </w:rPr>
                    <w:tab/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  <w:t xml:space="preserve">    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Pareceres   Acórdãos  Decisões  Resoluções</w:t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  <w:t xml:space="preserve">    TOTAL</w:t>
                  </w:r>
                </w:p>
                <w:p w:rsidR="006745AA" w:rsidRPr="00AF51ED" w:rsidRDefault="006745AA" w:rsidP="006A7E6A">
                  <w:pPr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</w:p>
                <w:p w:rsidR="006745AA" w:rsidRPr="00AF51ED" w:rsidRDefault="006745AA" w:rsidP="006A7E6A">
                  <w:pPr>
                    <w:spacing w:line="360" w:lineRule="auto"/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Administrativa            -                  -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6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ab/>
                    <w:t xml:space="preserve">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-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6</w:t>
                  </w:r>
                </w:p>
                <w:p w:rsidR="006745AA" w:rsidRPr="00AF51ED" w:rsidRDefault="006745AA" w:rsidP="006A7E6A">
                  <w:pPr>
                    <w:spacing w:line="360" w:lineRule="auto"/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Especial                     -                  - 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-                   -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-</w:t>
                  </w:r>
                </w:p>
                <w:p w:rsidR="006745AA" w:rsidRPr="00AF51ED" w:rsidRDefault="006745AA" w:rsidP="006A7E6A">
                  <w:pPr>
                    <w:spacing w:line="360" w:lineRule="auto"/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Extraordinária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ab/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1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ab/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-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-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-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1</w:t>
                  </w:r>
                </w:p>
                <w:p w:rsidR="006745AA" w:rsidRPr="00AF51ED" w:rsidRDefault="006745AA" w:rsidP="006A7E6A">
                  <w:pPr>
                    <w:spacing w:line="360" w:lineRule="auto"/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Ordinária  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1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233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506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10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750</w:t>
                  </w:r>
                </w:p>
                <w:p w:rsidR="006745AA" w:rsidRDefault="006745AA" w:rsidP="0049484C">
                  <w:pPr>
                    <w:pStyle w:val="Corpodetexto3"/>
                    <w:rPr>
                      <w:sz w:val="17"/>
                    </w:rPr>
                  </w:pP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>TOTAL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ab/>
                    <w:t xml:space="preserve">       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2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       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233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>512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   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>10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>757</w:t>
                  </w:r>
                </w:p>
                <w:p w:rsidR="006745AA" w:rsidRPr="0049484C" w:rsidRDefault="006745AA" w:rsidP="006A7E6A">
                  <w:pPr>
                    <w:rPr>
                      <w:color w:val="FFFFFF" w:themeColor="background1"/>
                      <w:sz w:val="12"/>
                    </w:rPr>
                  </w:pPr>
                  <w:r w:rsidRPr="0049484C">
                    <w:rPr>
                      <w:rFonts w:ascii="Arial" w:hAnsi="Arial"/>
                      <w:color w:val="FFFFFF" w:themeColor="background1"/>
                      <w:sz w:val="12"/>
                    </w:rPr>
                    <w:t>Fonte: Secretaria Geral - SEG</w:t>
                  </w:r>
                </w:p>
              </w:txbxContent>
            </v:textbox>
            <w10:wrap type="square"/>
          </v:shape>
        </w:pict>
      </w:r>
      <w:r w:rsidR="006A7E6A" w:rsidRPr="00F72FC1">
        <w:rPr>
          <w:rFonts w:ascii="Arial" w:hAnsi="Arial"/>
          <w:sz w:val="22"/>
        </w:rPr>
        <w:t>O Acórdão é um</w:t>
      </w:r>
      <w:r w:rsidR="006A7E6A">
        <w:rPr>
          <w:rFonts w:ascii="Arial" w:hAnsi="Arial"/>
          <w:sz w:val="22"/>
        </w:rPr>
        <w:t xml:space="preserve"> ato deliberativo de natureza definitiva, em processos de Prestação ou Tomada de Contas, que resulte em imposição de multa ou débito. 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Tribunal Pleno decide através de </w:t>
      </w:r>
      <w:r w:rsidRPr="00F72FC1">
        <w:rPr>
          <w:rFonts w:ascii="Arial" w:hAnsi="Arial"/>
          <w:sz w:val="22"/>
        </w:rPr>
        <w:t>Pareceres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quando se tratar de contas prestadas anualmente pelo Governador; pelos Prefeitos e outros casos, em que deva o Tribunal assim se manifestar. Por meio </w:t>
      </w:r>
      <w:r w:rsidRPr="00F72FC1">
        <w:rPr>
          <w:rFonts w:ascii="Arial" w:hAnsi="Arial"/>
          <w:sz w:val="22"/>
        </w:rPr>
        <w:t>de Decisões</w:t>
      </w:r>
      <w:r>
        <w:rPr>
          <w:rFonts w:ascii="Arial" w:hAnsi="Arial"/>
          <w:sz w:val="22"/>
        </w:rPr>
        <w:t xml:space="preserve">, nos demais casos, especialmente quando se tratar de: sustação ou solicitação de sustação da execução de ato ilegal; apreciação de atos de pessoal; determinação de realização de inspeções e auditorias e apreciação de seus resultados; matéria de natureza administrativa; enunciado de súmula de jurisprudência do Tribunal; incidente de inconstitucionalidade; entre outros. 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 w:rsidRPr="00F72FC1">
        <w:rPr>
          <w:rFonts w:ascii="Arial" w:hAnsi="Arial"/>
          <w:sz w:val="22"/>
        </w:rPr>
        <w:t>Resoluções,</w:t>
      </w:r>
      <w:r>
        <w:rPr>
          <w:rFonts w:ascii="Arial" w:hAnsi="Arial"/>
          <w:sz w:val="22"/>
        </w:rPr>
        <w:t xml:space="preserve"> quando se tratar de normas relativas à estrutura, competência, atribuição e funcionamento dos órgãos do Tribunal; outras matérias que, a critério do Tribunal Pleno, devam se revestir dessa forma.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 w:rsidRPr="00F72FC1">
        <w:rPr>
          <w:rFonts w:ascii="Arial" w:hAnsi="Arial"/>
          <w:sz w:val="22"/>
        </w:rPr>
        <w:t>Instrução Normativa</w:t>
      </w:r>
      <w:r>
        <w:rPr>
          <w:rFonts w:ascii="Arial" w:hAnsi="Arial"/>
          <w:sz w:val="22"/>
        </w:rPr>
        <w:t>, quando se tratar de instruções gerais ou especiais relativas ao controle externo, ou quando disciplinar matéria que envolva órgão ou entidade sujeita à jurisdição do Tribunal.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 w:rsidRPr="00F72FC1">
        <w:rPr>
          <w:rFonts w:ascii="Arial" w:hAnsi="Arial"/>
          <w:sz w:val="22"/>
        </w:rPr>
        <w:t>Decisão Normativa</w:t>
      </w:r>
      <w:r>
        <w:rPr>
          <w:rFonts w:ascii="Arial" w:hAnsi="Arial"/>
          <w:sz w:val="22"/>
        </w:rPr>
        <w:t xml:space="preserve">, quando se tratar de fixação de critério ou orientação e não se justificar a expedição de instrução normativa ou resolução. 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041ED4" w:rsidRDefault="00041ED4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52709E" w:rsidRDefault="0052709E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Pr="00DF5813" w:rsidRDefault="006A7E6A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2.4. Processos Julgados ou Apreciados</w:t>
      </w: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tabela a seguir apresenta, por tipo de processos, o número de processos julgados ou apreciados pelo Tribunal de Contas no </w:t>
      </w:r>
      <w:r w:rsidR="003C3296">
        <w:rPr>
          <w:rFonts w:ascii="Arial" w:hAnsi="Arial"/>
          <w:sz w:val="22"/>
        </w:rPr>
        <w:t>segundo</w:t>
      </w:r>
      <w:r>
        <w:rPr>
          <w:rFonts w:ascii="Arial" w:hAnsi="Arial"/>
          <w:sz w:val="22"/>
        </w:rPr>
        <w:t xml:space="preserve"> trimestre do ano de 201</w:t>
      </w:r>
      <w:r w:rsidR="007F2D03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 </w:t>
      </w:r>
    </w:p>
    <w:p w:rsidR="006A7E6A" w:rsidRDefault="006A7E6A" w:rsidP="006A7E6A">
      <w:pPr>
        <w:pStyle w:val="Ttulo"/>
        <w:jc w:val="left"/>
        <w:rPr>
          <w:rFonts w:ascii="Arial" w:hAnsi="Arial"/>
          <w:b/>
          <w:sz w:val="22"/>
        </w:rPr>
      </w:pPr>
    </w:p>
    <w:p w:rsidR="006A7E6A" w:rsidRPr="00A23F04" w:rsidRDefault="006A7E6A" w:rsidP="006A7E6A">
      <w:pPr>
        <w:pStyle w:val="Ttulo"/>
        <w:jc w:val="left"/>
        <w:rPr>
          <w:rFonts w:ascii="Arial" w:hAnsi="Arial"/>
          <w:b/>
          <w:color w:val="1F497D" w:themeColor="text2"/>
          <w:sz w:val="22"/>
        </w:rPr>
      </w:pPr>
      <w:r w:rsidRPr="00A23F04">
        <w:rPr>
          <w:rFonts w:ascii="Arial" w:hAnsi="Arial"/>
          <w:b/>
          <w:color w:val="1F497D" w:themeColor="text2"/>
          <w:sz w:val="22"/>
        </w:rPr>
        <w:t>TABELA 0</w:t>
      </w:r>
      <w:r w:rsidR="00E76299" w:rsidRPr="00A23F04">
        <w:rPr>
          <w:rFonts w:ascii="Arial" w:hAnsi="Arial"/>
          <w:b/>
          <w:color w:val="1F497D" w:themeColor="text2"/>
          <w:sz w:val="22"/>
        </w:rPr>
        <w:t>4</w:t>
      </w:r>
      <w:r w:rsidRPr="00A23F04">
        <w:rPr>
          <w:rFonts w:ascii="Arial" w:hAnsi="Arial"/>
          <w:b/>
          <w:color w:val="1F497D" w:themeColor="text2"/>
          <w:sz w:val="22"/>
        </w:rPr>
        <w:t xml:space="preserve"> - PROCESSOS JULGADOS OU APRECIADOS  </w:t>
      </w:r>
    </w:p>
    <w:tbl>
      <w:tblPr>
        <w:tblW w:w="9180" w:type="dxa"/>
        <w:tblBorders>
          <w:top w:val="single" w:sz="12" w:space="0" w:color="943634"/>
          <w:bottom w:val="single" w:sz="12" w:space="0" w:color="943634"/>
        </w:tblBorders>
        <w:tblLook w:val="04A0"/>
      </w:tblPr>
      <w:tblGrid>
        <w:gridCol w:w="5637"/>
        <w:gridCol w:w="1701"/>
        <w:gridCol w:w="567"/>
        <w:gridCol w:w="1275"/>
      </w:tblGrid>
      <w:tr w:rsidR="006A7E6A" w:rsidRPr="00AA6FA7" w:rsidTr="00AA6FA7">
        <w:tc>
          <w:tcPr>
            <w:tcW w:w="5637" w:type="dxa"/>
            <w:vMerge w:val="restart"/>
            <w:tcBorders>
              <w:top w:val="single" w:sz="12" w:space="0" w:color="1F497D" w:themeColor="text2"/>
              <w:bottom w:val="nil"/>
            </w:tcBorders>
            <w:shd w:val="pct25" w:color="auto" w:fill="1F497D" w:themeFill="text2"/>
          </w:tcPr>
          <w:p w:rsidR="006A7E6A" w:rsidRPr="00AA6FA7" w:rsidRDefault="006A7E6A" w:rsidP="006A7E6A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  <w:p w:rsidR="006A7E6A" w:rsidRPr="00AA6FA7" w:rsidRDefault="006A7E6A" w:rsidP="006A7E6A">
            <w:pPr>
              <w:jc w:val="center"/>
              <w:rPr>
                <w:rFonts w:ascii="Arial" w:eastAsia="Arial Unicode MS" w:hAnsi="Arial"/>
                <w:b/>
                <w:color w:val="FFFFFF" w:themeColor="background1"/>
                <w:sz w:val="16"/>
                <w:szCs w:val="16"/>
              </w:rPr>
            </w:pPr>
            <w:r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Tipo de Processo</w:t>
            </w:r>
          </w:p>
          <w:p w:rsidR="006A7E6A" w:rsidRPr="00AA6FA7" w:rsidRDefault="006A7E6A" w:rsidP="006A7E6A">
            <w:pPr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1F497D" w:themeColor="text2"/>
              <w:bottom w:val="nil"/>
            </w:tcBorders>
            <w:shd w:val="pct25" w:color="auto" w:fill="1F497D" w:themeFill="text2"/>
          </w:tcPr>
          <w:p w:rsidR="006A7E6A" w:rsidRPr="00AA6FA7" w:rsidRDefault="006A7E6A" w:rsidP="006A7E6A">
            <w:pPr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Quantidade</w:t>
            </w:r>
          </w:p>
        </w:tc>
      </w:tr>
      <w:tr w:rsidR="006A7E6A" w:rsidRPr="00AA6FA7" w:rsidTr="00AA6FA7">
        <w:trPr>
          <w:trHeight w:val="409"/>
        </w:trPr>
        <w:tc>
          <w:tcPr>
            <w:tcW w:w="5637" w:type="dxa"/>
            <w:vMerge/>
            <w:tcBorders>
              <w:top w:val="nil"/>
              <w:bottom w:val="nil"/>
            </w:tcBorders>
            <w:shd w:val="pct25" w:color="auto" w:fill="1F497D" w:themeFill="text2"/>
          </w:tcPr>
          <w:p w:rsidR="006A7E6A" w:rsidRPr="00AA6FA7" w:rsidRDefault="006A7E6A" w:rsidP="006A7E6A">
            <w:pPr>
              <w:rPr>
                <w:rFonts w:ascii="Arial" w:hAnsi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pct25" w:color="auto" w:fill="1F497D" w:themeFill="text2"/>
          </w:tcPr>
          <w:p w:rsidR="006A7E6A" w:rsidRPr="00AA6FA7" w:rsidRDefault="006A7E6A" w:rsidP="006A7E6A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  <w:p w:rsidR="006A7E6A" w:rsidRPr="00AA6FA7" w:rsidRDefault="003C3296" w:rsidP="007F2D03">
            <w:pPr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2</w:t>
            </w:r>
            <w:r w:rsidR="006A7E6A"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° trimestre 201</w:t>
            </w:r>
            <w:r w:rsidR="007F2D03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shd w:val="pct25" w:color="auto" w:fill="1F497D" w:themeFill="text2"/>
          </w:tcPr>
          <w:p w:rsidR="006A7E6A" w:rsidRPr="00AA6FA7" w:rsidRDefault="006A7E6A" w:rsidP="006A7E6A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  <w:p w:rsidR="006A7E6A" w:rsidRPr="00AA6FA7" w:rsidRDefault="006A7E6A" w:rsidP="006A7E6A">
            <w:pPr>
              <w:ind w:right="-392"/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%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ADM - Gabinete da Presidência 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0,79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APE - Registro de Ato de Aposentadoria 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28,14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APE - Registro de Ato de Reforma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APE - Registro de Ato de Transferência para a Reserva Remunerada 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APE - Retificação de Ato Aposentatório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CON - Consulta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3,96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DEN - Denúncia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ELC - Edital de Concorrência 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0,53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Dispensa de Licitação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Licitações, Contratos, Convênios e Instrumentos Análogos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0,40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Processo Licitatório 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0,40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LRF - Verificação da Lei de Responsabilidade Fiscal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FF2E85" w:rsidRPr="00B220ED" w:rsidTr="00FF2E85">
        <w:tc>
          <w:tcPr>
            <w:tcW w:w="5637" w:type="dxa"/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PCA - Prestação de Contas Anual de Unidade Gestora </w:t>
            </w:r>
          </w:p>
        </w:tc>
        <w:tc>
          <w:tcPr>
            <w:tcW w:w="1701" w:type="dxa"/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842" w:type="dxa"/>
            <w:gridSpan w:val="2"/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18,10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PCA - Prestação de Contas de Administrador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PCG - Prestação de Contas do Governador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PCP - Prestação de Contas do Prefeito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- Prestação de Contas de Recursos Antecipados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0,53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PDA - Pedido de Auditoria ALESC - LC 202/2000, Art. 1º, V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PNO - Processo Normativo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1,32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PPA - Registro do Ato de Pensão e Auxílio Especial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13,08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PRP - Pedido de Reapreciação - Prestação de Contas do Prefeito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0,40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Agravo - art. 82 da LC 202/2000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Embargos de Declaração - art.78 da LC 202/2000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1,98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Reconsideração - art. 77 da LC 202/2000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Reexame - art. 80 da LC 202/2000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4,10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- art. 113, § 1º, da Lei nº 8.666/93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3,04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de Agente Público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2,64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do Ministério Público junto ao Tribunal de Contas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do Poder Judiciário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1,06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REV - Revisão - art. 83 da LC 202/2000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0,53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Atos de Pessoal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Registros Contábeis e Execução Orçamentária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0,53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em Licitações e Contratos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Operacional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Ordinária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0,79</w:t>
            </w:r>
          </w:p>
        </w:tc>
      </w:tr>
      <w:tr w:rsidR="00FF2E85" w:rsidRPr="00B220ED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Ordinária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3,70</w:t>
            </w:r>
          </w:p>
        </w:tc>
      </w:tr>
      <w:tr w:rsidR="00FF2E85" w:rsidRPr="00107B37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referente a Registros Contábeis e Execução Orçamentária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107B37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RPA - Representação - Agente Público (Art.100 RI)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</w:tr>
      <w:tr w:rsidR="00FF2E85" w:rsidRPr="00107B37" w:rsidTr="00FF2E85">
        <w:tc>
          <w:tcPr>
            <w:tcW w:w="5637" w:type="dxa"/>
            <w:tcBorders>
              <w:top w:val="nil"/>
              <w:bottom w:val="nil"/>
            </w:tcBorders>
            <w:vAlign w:val="bottom"/>
          </w:tcPr>
          <w:p w:rsidR="00FF2E85" w:rsidRDefault="00FF2E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TCE - Tomada de Contas Especial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1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bottom"/>
          </w:tcPr>
          <w:p w:rsidR="00FF2E85" w:rsidRDefault="00FF2E85" w:rsidP="00FF2E85">
            <w:pPr>
              <w:ind w:right="60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5,02</w:t>
            </w:r>
          </w:p>
        </w:tc>
      </w:tr>
      <w:tr w:rsidR="006D349C" w:rsidRPr="00AA6FA7" w:rsidTr="00AF51ED">
        <w:tc>
          <w:tcPr>
            <w:tcW w:w="5637" w:type="dxa"/>
            <w:tcBorders>
              <w:top w:val="nil"/>
              <w:bottom w:val="single" w:sz="12" w:space="0" w:color="1F497D" w:themeColor="text2"/>
            </w:tcBorders>
            <w:shd w:val="solid" w:color="1F497D" w:themeColor="text2" w:fill="1F497D" w:themeFill="text2"/>
          </w:tcPr>
          <w:p w:rsidR="006D349C" w:rsidRPr="00AA6FA7" w:rsidRDefault="006D349C" w:rsidP="00953F54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  <w:p w:rsidR="006D349C" w:rsidRPr="00AA6FA7" w:rsidRDefault="006D349C" w:rsidP="00953F54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6D349C" w:rsidRPr="00AA6FA7" w:rsidRDefault="00FF2E85" w:rsidP="00107B37">
            <w:pPr>
              <w:tabs>
                <w:tab w:val="left" w:pos="884"/>
              </w:tabs>
              <w:ind w:right="1168"/>
              <w:jc w:val="right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757</w:t>
            </w:r>
          </w:p>
        </w:tc>
        <w:tc>
          <w:tcPr>
            <w:tcW w:w="1275" w:type="dxa"/>
            <w:tcBorders>
              <w:top w:val="nil"/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6D349C" w:rsidRPr="00AA6FA7" w:rsidRDefault="00FF2E85" w:rsidP="007F32E0">
            <w:pPr>
              <w:ind w:left="-392" w:right="600"/>
              <w:jc w:val="right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100</w:t>
            </w:r>
          </w:p>
        </w:tc>
      </w:tr>
    </w:tbl>
    <w:p w:rsidR="006A7E6A" w:rsidRPr="00280897" w:rsidRDefault="006A7E6A" w:rsidP="006A7E6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13"/>
        </w:rPr>
        <w:t>Fonte: Secretaria Geral -  SEG</w:t>
      </w:r>
    </w:p>
    <w:p w:rsidR="006A7E6A" w:rsidRDefault="006A7E6A" w:rsidP="006A7E6A">
      <w:pPr>
        <w:ind w:firstLine="1134"/>
        <w:jc w:val="both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</w:t>
      </w:r>
    </w:p>
    <w:p w:rsidR="00E76299" w:rsidRDefault="00E76299" w:rsidP="006A7E6A">
      <w:pPr>
        <w:ind w:firstLine="1134"/>
        <w:jc w:val="both"/>
        <w:rPr>
          <w:rFonts w:ascii="Arial" w:hAnsi="Arial"/>
          <w:sz w:val="22"/>
        </w:rPr>
      </w:pPr>
    </w:p>
    <w:p w:rsidR="006A7E6A" w:rsidRDefault="006A7E6A" w:rsidP="006A7E6A">
      <w:pPr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 gráfico a seguir demonstra a participação relativa dos principais tipos de processos  julgados no </w:t>
      </w:r>
      <w:r w:rsidR="003C3296">
        <w:rPr>
          <w:rFonts w:ascii="Arial" w:hAnsi="Arial"/>
          <w:sz w:val="22"/>
        </w:rPr>
        <w:t>segundo</w:t>
      </w:r>
      <w:r>
        <w:rPr>
          <w:rFonts w:ascii="Arial" w:hAnsi="Arial"/>
          <w:sz w:val="22"/>
        </w:rPr>
        <w:t xml:space="preserve"> trimestre  de 201</w:t>
      </w:r>
      <w:r w:rsidR="007F2D03">
        <w:rPr>
          <w:rFonts w:ascii="Arial" w:hAnsi="Arial"/>
          <w:sz w:val="22"/>
        </w:rPr>
        <w:t>5</w:t>
      </w:r>
      <w:r>
        <w:rPr>
          <w:rFonts w:ascii="Arial" w:hAnsi="Arial"/>
          <w:b/>
          <w:sz w:val="22"/>
        </w:rPr>
        <w:t>.</w:t>
      </w:r>
    </w:p>
    <w:p w:rsidR="006A7E6A" w:rsidRDefault="006A7E6A" w:rsidP="006A7E6A">
      <w:pPr>
        <w:pStyle w:val="Corpodetexto"/>
        <w:ind w:firstLine="851"/>
        <w:rPr>
          <w:rFonts w:ascii="Arial" w:hAnsi="Arial"/>
          <w:b/>
          <w:sz w:val="22"/>
        </w:rPr>
      </w:pPr>
    </w:p>
    <w:p w:rsidR="008340A5" w:rsidRDefault="008340A5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000FA6" w:rsidRDefault="00000FA6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C85BA9" w:rsidRDefault="008340A5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  <w:r w:rsidRPr="00AF51ED">
        <w:rPr>
          <w:rFonts w:ascii="Arial" w:hAnsi="Arial"/>
          <w:b/>
          <w:color w:val="1F497D" w:themeColor="text2"/>
          <w:sz w:val="22"/>
        </w:rPr>
        <w:t>GRÁFICO 01</w:t>
      </w:r>
      <w:r w:rsidR="003C3296">
        <w:rPr>
          <w:rFonts w:ascii="Arial" w:hAnsi="Arial"/>
          <w:b/>
          <w:color w:val="1F497D" w:themeColor="text2"/>
          <w:sz w:val="22"/>
        </w:rPr>
        <w:t xml:space="preserve">   </w:t>
      </w:r>
      <w:r w:rsidR="00C85BA9" w:rsidRPr="00C85BA9">
        <w:rPr>
          <w:noProof/>
        </w:rPr>
        <w:drawing>
          <wp:inline distT="0" distB="0" distL="0" distR="0">
            <wp:extent cx="5930477" cy="3010618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998" cy="30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6A" w:rsidRDefault="006A7E6A" w:rsidP="006C374B">
      <w:pPr>
        <w:pStyle w:val="Corpodetexto"/>
        <w:jc w:val="left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 Fonte: Secretaria Geral – SEG</w:t>
      </w: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5D5823" w:rsidRDefault="005D5823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Pr="00DF5813" w:rsidRDefault="006A7E6A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2.4.1. Instrução e Julgamento de Contas</w:t>
      </w: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5D5823" w:rsidRPr="005D5823" w:rsidRDefault="005D5823" w:rsidP="005D5823">
      <w:pPr>
        <w:pStyle w:val="Corpodetexto"/>
        <w:ind w:firstLine="1134"/>
        <w:rPr>
          <w:rFonts w:ascii="Arial" w:hAnsi="Arial"/>
          <w:sz w:val="22"/>
        </w:rPr>
      </w:pPr>
      <w:r w:rsidRPr="005D5823">
        <w:rPr>
          <w:rFonts w:ascii="Arial" w:hAnsi="Arial"/>
          <w:sz w:val="22"/>
        </w:rPr>
        <w:t xml:space="preserve">Todos os processos que tramitam no Tribunal de Contas são devidamente instruídos pelas Diretorias Técnicas </w:t>
      </w:r>
      <w:r w:rsidR="002E2D9C">
        <w:rPr>
          <w:rFonts w:ascii="Arial" w:hAnsi="Arial"/>
          <w:sz w:val="22"/>
        </w:rPr>
        <w:t>e</w:t>
      </w:r>
      <w:r w:rsidRPr="005D5823">
        <w:rPr>
          <w:rFonts w:ascii="Arial" w:hAnsi="Arial"/>
          <w:sz w:val="22"/>
        </w:rPr>
        <w:t xml:space="preserve"> encaminhados ao Ministério Público junto ao TCE/SC, para emissão de seu parecer. Cumpridas estas instâncias de análise e parecer, o processo é submetido ao Relator para proferir o parecer e voto, submetendo-os à deliberação do Pleno.</w:t>
      </w:r>
    </w:p>
    <w:p w:rsidR="005D5823" w:rsidRPr="005D5823" w:rsidRDefault="005D5823" w:rsidP="005D5823">
      <w:pPr>
        <w:pStyle w:val="Corpodetexto"/>
        <w:ind w:firstLine="1134"/>
        <w:rPr>
          <w:rFonts w:ascii="Arial" w:hAnsi="Arial"/>
          <w:sz w:val="22"/>
        </w:rPr>
      </w:pPr>
      <w:r w:rsidRPr="005D5823">
        <w:rPr>
          <w:rFonts w:ascii="Arial" w:hAnsi="Arial"/>
          <w:sz w:val="22"/>
        </w:rPr>
        <w:t>Será considerada preliminar a decisão pela qual o Plenário, antes de pronunciar-se quanto ao mérito da matéria, resolve sobrestar o julgamento, ordenar a citação dos responsáveis ou, ainda, determinar outras diligências necessárias ao saneamento do processo.</w:t>
      </w:r>
    </w:p>
    <w:p w:rsidR="005D5823" w:rsidRPr="005D5823" w:rsidRDefault="005D5823" w:rsidP="005D5823">
      <w:pPr>
        <w:pStyle w:val="Corpodetexto"/>
        <w:ind w:firstLine="1134"/>
        <w:rPr>
          <w:rFonts w:ascii="Arial" w:hAnsi="Arial"/>
          <w:sz w:val="22"/>
        </w:rPr>
      </w:pPr>
      <w:r w:rsidRPr="005D5823">
        <w:rPr>
          <w:rFonts w:ascii="Arial" w:hAnsi="Arial"/>
          <w:sz w:val="22"/>
        </w:rPr>
        <w:t>A decisão definitiva do Tribunal acontece quando as contas são julgadas regulares, regulares com ressalvas ou irregulares.</w:t>
      </w:r>
    </w:p>
    <w:p w:rsidR="005D5823" w:rsidRPr="005D5823" w:rsidRDefault="005D5823" w:rsidP="005D5823">
      <w:pPr>
        <w:pStyle w:val="Corpodetexto"/>
        <w:ind w:firstLine="1134"/>
        <w:rPr>
          <w:rFonts w:ascii="Arial" w:hAnsi="Arial"/>
          <w:sz w:val="22"/>
        </w:rPr>
      </w:pPr>
      <w:r w:rsidRPr="005D5823">
        <w:rPr>
          <w:rFonts w:ascii="Arial" w:hAnsi="Arial"/>
          <w:sz w:val="22"/>
        </w:rPr>
        <w:t>Terminativa é a decisão pela qual o TCE ordena o trancamento das contas consideradas iliquidáveis, nos termos do art. 22 da Lei Orgânica do Tribunal (Lei Complementar 202/2000).</w:t>
      </w:r>
    </w:p>
    <w:p w:rsidR="005D5823" w:rsidRDefault="005D5823" w:rsidP="005D5823">
      <w:pPr>
        <w:pStyle w:val="Corpodetexto"/>
      </w:pPr>
    </w:p>
    <w:p w:rsidR="005D5823" w:rsidRDefault="005D5823" w:rsidP="005D5823">
      <w:pPr>
        <w:pStyle w:val="Recuodecorpodetexto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período de  </w:t>
      </w:r>
      <w:r w:rsidR="003C3296">
        <w:rPr>
          <w:rFonts w:ascii="Arial" w:hAnsi="Arial"/>
          <w:sz w:val="22"/>
        </w:rPr>
        <w:t>abril</w:t>
      </w:r>
      <w:r w:rsidR="002416A5">
        <w:rPr>
          <w:rFonts w:ascii="Arial" w:hAnsi="Arial"/>
          <w:sz w:val="22"/>
        </w:rPr>
        <w:t xml:space="preserve"> a </w:t>
      </w:r>
      <w:r w:rsidR="003C3296">
        <w:rPr>
          <w:rFonts w:ascii="Arial" w:hAnsi="Arial"/>
          <w:sz w:val="22"/>
        </w:rPr>
        <w:t>junho</w:t>
      </w:r>
      <w:r>
        <w:rPr>
          <w:rFonts w:ascii="Arial" w:hAnsi="Arial"/>
          <w:sz w:val="22"/>
        </w:rPr>
        <w:t xml:space="preserve">  de 201</w:t>
      </w:r>
      <w:r w:rsidR="007F2D03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, as decisões prolatadas pelo Tribunal Pleno envolveram aplicações de multas no  valor  de </w:t>
      </w:r>
      <w:r w:rsidRPr="007535AA">
        <w:rPr>
          <w:rFonts w:ascii="Arial" w:hAnsi="Arial"/>
          <w:sz w:val="22"/>
        </w:rPr>
        <w:t>R</w:t>
      </w:r>
      <w:r w:rsidR="005C0FF7" w:rsidRPr="00750884">
        <w:rPr>
          <w:color w:val="000000" w:themeColor="text1"/>
          <w:sz w:val="20"/>
        </w:rPr>
        <w:t xml:space="preserve">$ </w:t>
      </w:r>
      <w:r w:rsidR="00750884" w:rsidRPr="00750884">
        <w:rPr>
          <w:rFonts w:ascii="Arial" w:hAnsi="Arial"/>
          <w:sz w:val="22"/>
        </w:rPr>
        <w:t>271.800,00</w:t>
      </w:r>
      <w:r w:rsidR="00750884" w:rsidRPr="00000FA6">
        <w:rPr>
          <w:rFonts w:ascii="Arial" w:hAnsi="Arial" w:cs="Arial"/>
          <w:color w:val="FFFFFF" w:themeColor="background1"/>
          <w:sz w:val="16"/>
          <w:szCs w:val="16"/>
        </w:rPr>
        <w:t xml:space="preserve"> </w:t>
      </w:r>
      <w:r w:rsidRPr="00750884">
        <w:rPr>
          <w:rFonts w:ascii="Arial" w:hAnsi="Arial"/>
          <w:color w:val="000000" w:themeColor="text1"/>
          <w:sz w:val="22"/>
        </w:rPr>
        <w:t>(</w:t>
      </w:r>
      <w:r w:rsidR="00750884" w:rsidRPr="00750884">
        <w:rPr>
          <w:rFonts w:ascii="Arial" w:hAnsi="Arial"/>
          <w:color w:val="000000" w:themeColor="text1"/>
          <w:sz w:val="22"/>
        </w:rPr>
        <w:t>duzentos e setenta e um</w:t>
      </w:r>
      <w:r w:rsidR="005C0FF7" w:rsidRPr="00750884">
        <w:rPr>
          <w:rFonts w:ascii="Arial" w:hAnsi="Arial"/>
          <w:color w:val="000000" w:themeColor="text1"/>
          <w:sz w:val="22"/>
        </w:rPr>
        <w:t xml:space="preserve"> mil</w:t>
      </w:r>
      <w:r w:rsidR="00997C8C" w:rsidRPr="00750884">
        <w:rPr>
          <w:rFonts w:ascii="Arial" w:hAnsi="Arial"/>
          <w:color w:val="000000" w:themeColor="text1"/>
          <w:sz w:val="22"/>
        </w:rPr>
        <w:t xml:space="preserve"> e </w:t>
      </w:r>
      <w:r w:rsidR="00750884" w:rsidRPr="00750884">
        <w:rPr>
          <w:rFonts w:ascii="Arial" w:hAnsi="Arial"/>
          <w:color w:val="000000" w:themeColor="text1"/>
          <w:sz w:val="22"/>
        </w:rPr>
        <w:t>oitocentos</w:t>
      </w:r>
      <w:r w:rsidR="00997C8C" w:rsidRPr="00750884">
        <w:rPr>
          <w:rFonts w:ascii="Arial" w:hAnsi="Arial"/>
          <w:color w:val="000000" w:themeColor="text1"/>
          <w:sz w:val="22"/>
        </w:rPr>
        <w:t xml:space="preserve"> </w:t>
      </w:r>
      <w:r w:rsidR="00CD01B7" w:rsidRPr="00750884">
        <w:rPr>
          <w:rFonts w:ascii="Arial" w:hAnsi="Arial"/>
          <w:color w:val="000000" w:themeColor="text1"/>
          <w:sz w:val="22"/>
        </w:rPr>
        <w:t>reais</w:t>
      </w:r>
      <w:r w:rsidRPr="00750884">
        <w:rPr>
          <w:rFonts w:ascii="Arial" w:hAnsi="Arial"/>
          <w:color w:val="000000" w:themeColor="text1"/>
          <w:sz w:val="22"/>
        </w:rPr>
        <w:t xml:space="preserve">), </w:t>
      </w:r>
      <w:r w:rsidRPr="002B3F33">
        <w:rPr>
          <w:rFonts w:ascii="Arial" w:hAnsi="Arial"/>
          <w:color w:val="000000" w:themeColor="text1"/>
          <w:sz w:val="22"/>
        </w:rPr>
        <w:t>e imputação de débitos no valor de</w:t>
      </w:r>
      <w:r w:rsidRPr="007F2D03">
        <w:rPr>
          <w:rFonts w:ascii="Arial" w:hAnsi="Arial"/>
          <w:color w:val="FF0000"/>
          <w:sz w:val="22"/>
        </w:rPr>
        <w:t xml:space="preserve"> </w:t>
      </w:r>
      <w:r w:rsidRPr="002B3F33">
        <w:rPr>
          <w:rFonts w:ascii="Arial" w:hAnsi="Arial"/>
          <w:color w:val="000000" w:themeColor="text1"/>
          <w:sz w:val="22"/>
        </w:rPr>
        <w:t>R$</w:t>
      </w:r>
      <w:r w:rsidRPr="00750884">
        <w:rPr>
          <w:rFonts w:ascii="Arial" w:hAnsi="Arial"/>
          <w:color w:val="000000" w:themeColor="text1"/>
          <w:sz w:val="22"/>
        </w:rPr>
        <w:t xml:space="preserve"> </w:t>
      </w:r>
      <w:r w:rsidR="00750884" w:rsidRPr="00750884">
        <w:rPr>
          <w:rFonts w:ascii="Arial" w:hAnsi="Arial"/>
          <w:color w:val="000000" w:themeColor="text1"/>
          <w:sz w:val="22"/>
        </w:rPr>
        <w:t>5.415.190,</w:t>
      </w:r>
      <w:r w:rsidR="00750884" w:rsidRPr="00750884">
        <w:rPr>
          <w:color w:val="000000" w:themeColor="text1"/>
          <w:sz w:val="20"/>
        </w:rPr>
        <w:t xml:space="preserve">93 </w:t>
      </w:r>
      <w:r w:rsidRPr="00750884">
        <w:rPr>
          <w:color w:val="000000" w:themeColor="text1"/>
          <w:sz w:val="20"/>
        </w:rPr>
        <w:t>(</w:t>
      </w:r>
      <w:r w:rsidR="00750884" w:rsidRPr="00750884">
        <w:rPr>
          <w:color w:val="000000" w:themeColor="text1"/>
          <w:sz w:val="20"/>
        </w:rPr>
        <w:t xml:space="preserve">cinco </w:t>
      </w:r>
      <w:r w:rsidR="005C0FF7" w:rsidRPr="00750884">
        <w:rPr>
          <w:color w:val="000000" w:themeColor="text1"/>
          <w:sz w:val="20"/>
        </w:rPr>
        <w:t xml:space="preserve">milhões, </w:t>
      </w:r>
      <w:r w:rsidR="00750884" w:rsidRPr="00750884">
        <w:rPr>
          <w:color w:val="000000" w:themeColor="text1"/>
          <w:sz w:val="20"/>
        </w:rPr>
        <w:t>quatrocentos e quinze</w:t>
      </w:r>
      <w:r w:rsidR="005C0FF7" w:rsidRPr="00750884">
        <w:rPr>
          <w:color w:val="000000" w:themeColor="text1"/>
          <w:sz w:val="20"/>
        </w:rPr>
        <w:t xml:space="preserve"> mil, </w:t>
      </w:r>
      <w:r w:rsidR="00750884" w:rsidRPr="00750884">
        <w:rPr>
          <w:color w:val="000000" w:themeColor="text1"/>
          <w:sz w:val="20"/>
        </w:rPr>
        <w:t>cento e noventa</w:t>
      </w:r>
      <w:r w:rsidR="005C0FF7" w:rsidRPr="00750884">
        <w:rPr>
          <w:color w:val="000000" w:themeColor="text1"/>
          <w:sz w:val="20"/>
        </w:rPr>
        <w:t xml:space="preserve"> reais e </w:t>
      </w:r>
      <w:r w:rsidR="00750884" w:rsidRPr="00750884">
        <w:rPr>
          <w:color w:val="000000" w:themeColor="text1"/>
          <w:sz w:val="20"/>
        </w:rPr>
        <w:t>noventa e três</w:t>
      </w:r>
      <w:r w:rsidRPr="00750884">
        <w:rPr>
          <w:color w:val="000000" w:themeColor="text1"/>
          <w:sz w:val="20"/>
        </w:rPr>
        <w:t xml:space="preserve"> ce</w:t>
      </w:r>
      <w:r w:rsidRPr="002B3F33">
        <w:rPr>
          <w:rFonts w:ascii="Arial" w:hAnsi="Arial"/>
          <w:color w:val="000000" w:themeColor="text1"/>
          <w:sz w:val="22"/>
        </w:rPr>
        <w:t>ntavos),</w:t>
      </w:r>
      <w:r w:rsidRPr="0041290F">
        <w:rPr>
          <w:rFonts w:ascii="Arial" w:hAnsi="Arial"/>
          <w:color w:val="000000" w:themeColor="text1"/>
          <w:sz w:val="22"/>
        </w:rPr>
        <w:t xml:space="preserve"> </w:t>
      </w:r>
      <w:r w:rsidRPr="002B3F33">
        <w:rPr>
          <w:rFonts w:ascii="Arial" w:hAnsi="Arial"/>
          <w:color w:val="000000" w:themeColor="text1"/>
          <w:sz w:val="22"/>
        </w:rPr>
        <w:t>con</w:t>
      </w:r>
      <w:r>
        <w:rPr>
          <w:rFonts w:ascii="Arial" w:hAnsi="Arial"/>
          <w:sz w:val="22"/>
        </w:rPr>
        <w:t xml:space="preserve">forme demonstra a </w:t>
      </w:r>
      <w:r w:rsidR="0018534C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abela </w:t>
      </w:r>
      <w:r w:rsidR="0018534C">
        <w:rPr>
          <w:rFonts w:ascii="Arial" w:hAnsi="Arial"/>
          <w:sz w:val="22"/>
        </w:rPr>
        <w:t>5</w:t>
      </w:r>
      <w:r w:rsidR="006C2DD7">
        <w:rPr>
          <w:rFonts w:ascii="Arial" w:hAnsi="Arial"/>
          <w:sz w:val="22"/>
        </w:rPr>
        <w:t>.</w:t>
      </w:r>
    </w:p>
    <w:p w:rsidR="00E76299" w:rsidRDefault="00E76299" w:rsidP="005D5823">
      <w:pPr>
        <w:pStyle w:val="Recuodecorpodetexto2"/>
        <w:rPr>
          <w:rFonts w:ascii="Arial" w:hAnsi="Arial"/>
          <w:sz w:val="22"/>
        </w:rPr>
      </w:pPr>
    </w:p>
    <w:p w:rsidR="005D5823" w:rsidRDefault="005D5823" w:rsidP="005D5823">
      <w:pPr>
        <w:ind w:firstLine="1134"/>
        <w:jc w:val="both"/>
        <w:rPr>
          <w:rFonts w:ascii="Arial" w:hAnsi="Arial"/>
          <w:sz w:val="22"/>
        </w:rPr>
      </w:pPr>
    </w:p>
    <w:p w:rsidR="00EC47FB" w:rsidRDefault="00EC47FB" w:rsidP="005D5823">
      <w:pPr>
        <w:ind w:firstLine="1134"/>
        <w:jc w:val="both"/>
        <w:rPr>
          <w:rFonts w:ascii="Arial" w:hAnsi="Arial"/>
          <w:sz w:val="22"/>
        </w:rPr>
      </w:pPr>
    </w:p>
    <w:p w:rsidR="00EC47FB" w:rsidRDefault="00EC47FB" w:rsidP="005D5823">
      <w:pPr>
        <w:ind w:firstLine="1134"/>
        <w:jc w:val="both"/>
        <w:rPr>
          <w:rFonts w:ascii="Arial" w:hAnsi="Arial"/>
          <w:sz w:val="22"/>
        </w:rPr>
      </w:pPr>
    </w:p>
    <w:p w:rsidR="005C0FF7" w:rsidRDefault="005C0FF7" w:rsidP="005D5823">
      <w:pPr>
        <w:ind w:firstLine="1134"/>
        <w:jc w:val="both"/>
        <w:rPr>
          <w:rFonts w:ascii="Arial" w:hAnsi="Arial"/>
          <w:sz w:val="22"/>
        </w:rPr>
      </w:pPr>
    </w:p>
    <w:p w:rsidR="005C0FF7" w:rsidRDefault="005C0FF7" w:rsidP="005D5823">
      <w:pPr>
        <w:ind w:firstLine="1134"/>
        <w:jc w:val="both"/>
        <w:rPr>
          <w:rFonts w:ascii="Arial" w:hAnsi="Arial"/>
          <w:sz w:val="22"/>
        </w:rPr>
      </w:pPr>
    </w:p>
    <w:p w:rsidR="005D5823" w:rsidRPr="00A23F04" w:rsidRDefault="005D5823" w:rsidP="005D5823">
      <w:pPr>
        <w:pStyle w:val="Ttulo2"/>
        <w:jc w:val="both"/>
        <w:rPr>
          <w:color w:val="1F497D" w:themeColor="text2"/>
        </w:rPr>
      </w:pPr>
      <w:r w:rsidRPr="00A23F04">
        <w:rPr>
          <w:rFonts w:ascii="Arial" w:hAnsi="Arial"/>
          <w:color w:val="1F497D" w:themeColor="text2"/>
          <w:sz w:val="22"/>
        </w:rPr>
        <w:lastRenderedPageBreak/>
        <w:t>TABELA 0</w:t>
      </w:r>
      <w:r w:rsidR="00E76299" w:rsidRPr="00A23F04">
        <w:rPr>
          <w:rFonts w:ascii="Arial" w:hAnsi="Arial"/>
          <w:color w:val="1F497D" w:themeColor="text2"/>
          <w:sz w:val="22"/>
        </w:rPr>
        <w:t>5</w:t>
      </w:r>
      <w:r w:rsidRPr="00A23F04">
        <w:rPr>
          <w:rFonts w:ascii="Arial" w:hAnsi="Arial"/>
          <w:color w:val="1F497D" w:themeColor="text2"/>
          <w:sz w:val="22"/>
        </w:rPr>
        <w:t xml:space="preserve"> - DECISÕES DO TRIBUNAL PLENO COM IMPUTAÇÃO DE DÉBITO E/OU APLICAÇÃO  DE MULTAS </w:t>
      </w:r>
    </w:p>
    <w:tbl>
      <w:tblPr>
        <w:tblW w:w="9578" w:type="dxa"/>
        <w:jc w:val="center"/>
        <w:tblInd w:w="273" w:type="dxa"/>
        <w:tblLayout w:type="fixed"/>
        <w:tblLook w:val="0000"/>
      </w:tblPr>
      <w:tblGrid>
        <w:gridCol w:w="6"/>
        <w:gridCol w:w="121"/>
        <w:gridCol w:w="5765"/>
        <w:gridCol w:w="1134"/>
        <w:gridCol w:w="1176"/>
        <w:gridCol w:w="100"/>
        <w:gridCol w:w="1212"/>
        <w:gridCol w:w="64"/>
      </w:tblGrid>
      <w:tr w:rsidR="005D5823" w:rsidRPr="004F56D6" w:rsidTr="00E97A71">
        <w:trPr>
          <w:gridBefore w:val="2"/>
          <w:gridAfter w:val="1"/>
          <w:wBefore w:w="127" w:type="dxa"/>
          <w:wAfter w:w="64" w:type="dxa"/>
          <w:trHeight w:val="293"/>
          <w:jc w:val="center"/>
        </w:trPr>
        <w:tc>
          <w:tcPr>
            <w:tcW w:w="5765" w:type="dxa"/>
            <w:tcBorders>
              <w:top w:val="single" w:sz="12" w:space="0" w:color="1F497D" w:themeColor="text2"/>
            </w:tcBorders>
            <w:shd w:val="solid" w:color="1F497D" w:themeColor="text2" w:fill="1F497D" w:themeFill="text2"/>
            <w:vAlign w:val="center"/>
          </w:tcPr>
          <w:p w:rsidR="005D5823" w:rsidRPr="004F56D6" w:rsidRDefault="005D5823" w:rsidP="003F5926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Tipo de Processo</w:t>
            </w:r>
          </w:p>
        </w:tc>
        <w:tc>
          <w:tcPr>
            <w:tcW w:w="1134" w:type="dxa"/>
            <w:tcBorders>
              <w:top w:val="single" w:sz="12" w:space="0" w:color="1F497D" w:themeColor="text2"/>
            </w:tcBorders>
            <w:shd w:val="solid" w:color="1F497D" w:themeColor="text2" w:fill="1F497D" w:themeFill="text2"/>
          </w:tcPr>
          <w:p w:rsidR="005D5823" w:rsidRPr="004F56D6" w:rsidRDefault="005D5823" w:rsidP="003F5926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Aplicação de Multas</w:t>
            </w:r>
          </w:p>
        </w:tc>
        <w:tc>
          <w:tcPr>
            <w:tcW w:w="1176" w:type="dxa"/>
            <w:tcBorders>
              <w:top w:val="single" w:sz="12" w:space="0" w:color="1F497D" w:themeColor="text2"/>
            </w:tcBorders>
            <w:shd w:val="solid" w:color="1F497D" w:themeColor="text2" w:fill="1F497D" w:themeFill="text2"/>
          </w:tcPr>
          <w:p w:rsidR="005D5823" w:rsidRPr="004F56D6" w:rsidRDefault="005D5823" w:rsidP="003F5926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Imputação de Débito</w:t>
            </w:r>
          </w:p>
        </w:tc>
        <w:tc>
          <w:tcPr>
            <w:tcW w:w="1312" w:type="dxa"/>
            <w:gridSpan w:val="2"/>
            <w:tcBorders>
              <w:top w:val="single" w:sz="12" w:space="0" w:color="1F497D" w:themeColor="text2"/>
            </w:tcBorders>
            <w:shd w:val="solid" w:color="1F497D" w:themeColor="text2" w:fill="1F497D" w:themeFill="text2"/>
            <w:vAlign w:val="center"/>
          </w:tcPr>
          <w:p w:rsidR="005D5823" w:rsidRPr="004F56D6" w:rsidRDefault="005D5823" w:rsidP="003F5926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Total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Atos de Pessoal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3.600,00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3.600,00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Registros Contábeis e Execução Orçamentária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59.700,00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59.700,00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Ordinária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DEN - Denúncia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Dispensa de Licitação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8.000,00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Ordinária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6.100,00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6.100,00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PCA - Prestação de Contas Anual de Unidade Gestora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6.251,48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11.051,48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 w:rsidP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PCA - Prestação de Contas de Administrador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2.128,00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- Prestação de Contas de Recursos Antecipados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5.500,00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286.993,68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292.493,68</w:t>
            </w:r>
          </w:p>
        </w:tc>
      </w:tr>
      <w:tr w:rsidR="00000FA6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Processo Licitatório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82.000,00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82.000,00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- art. 113, § 1º, da Lei nº 8.666/93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43.400,00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43.400,00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de Agente Público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6.400,00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do Poder Judiciário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6.400,00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6.400,00</w:t>
            </w:r>
          </w:p>
        </w:tc>
      </w:tr>
      <w:tr w:rsidR="00000FA6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000FA6" w:rsidRDefault="00000FA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TCE - Tomada de Contas Especial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000FA6" w:rsidRDefault="00000FA6" w:rsidP="00000FA6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35.400,00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 w:rsidP="00000FA6">
            <w:pPr>
              <w:ind w:right="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5.121.817,77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000FA6" w:rsidRDefault="00000FA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5.157.217,77</w:t>
            </w:r>
          </w:p>
        </w:tc>
      </w:tr>
      <w:tr w:rsidR="00000FA6" w:rsidTr="00E97A71">
        <w:trPr>
          <w:gridBefore w:val="1"/>
          <w:wBefore w:w="6" w:type="dxa"/>
          <w:trHeight w:val="203"/>
          <w:jc w:val="center"/>
        </w:trPr>
        <w:tc>
          <w:tcPr>
            <w:tcW w:w="5886" w:type="dxa"/>
            <w:gridSpan w:val="2"/>
            <w:tcBorders>
              <w:bottom w:val="single" w:sz="12" w:space="0" w:color="1F497D" w:themeColor="text2"/>
            </w:tcBorders>
            <w:shd w:val="solid" w:color="1F497D" w:themeColor="text2" w:fill="1F497D" w:themeFill="text2"/>
          </w:tcPr>
          <w:p w:rsidR="00000FA6" w:rsidRPr="004F56D6" w:rsidRDefault="00000FA6" w:rsidP="003F5926">
            <w:pPr>
              <w:pStyle w:val="Textopadro"/>
              <w:ind w:right="10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</w:p>
          <w:p w:rsidR="00000FA6" w:rsidRPr="004F56D6" w:rsidRDefault="00000FA6" w:rsidP="003F5926">
            <w:pPr>
              <w:pStyle w:val="Textopadro"/>
              <w:ind w:right="10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T o t a l</w:t>
            </w:r>
          </w:p>
        </w:tc>
        <w:tc>
          <w:tcPr>
            <w:tcW w:w="1134" w:type="dxa"/>
            <w:tcBorders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000FA6" w:rsidRPr="00000FA6" w:rsidRDefault="00000FA6" w:rsidP="00000FA6">
            <w:pPr>
              <w:ind w:right="98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00FA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                       271.800,00 </w:t>
            </w:r>
          </w:p>
        </w:tc>
        <w:tc>
          <w:tcPr>
            <w:tcW w:w="1276" w:type="dxa"/>
            <w:gridSpan w:val="2"/>
            <w:tcBorders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000FA6" w:rsidRPr="00000FA6" w:rsidRDefault="00000FA6" w:rsidP="00000FA6">
            <w:pPr>
              <w:ind w:right="2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00FA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5.415.190,93</w:t>
            </w:r>
          </w:p>
        </w:tc>
        <w:tc>
          <w:tcPr>
            <w:tcW w:w="1276" w:type="dxa"/>
            <w:gridSpan w:val="2"/>
            <w:tcBorders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000FA6" w:rsidRPr="00000FA6" w:rsidRDefault="00000FA6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000FA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5.686.990,93</w:t>
            </w:r>
          </w:p>
        </w:tc>
      </w:tr>
    </w:tbl>
    <w:p w:rsidR="005D5823" w:rsidRDefault="005D5823" w:rsidP="005D5823">
      <w:pPr>
        <w:pStyle w:val="Subttulo"/>
        <w:ind w:hanging="284"/>
        <w:jc w:val="both"/>
        <w:rPr>
          <w:rFonts w:ascii="Arial" w:hAnsi="Arial"/>
          <w:sz w:val="13"/>
        </w:rPr>
      </w:pPr>
      <w:r>
        <w:rPr>
          <w:rFonts w:ascii="Arial" w:hAnsi="Arial"/>
          <w:sz w:val="12"/>
        </w:rPr>
        <w:t xml:space="preserve">       </w:t>
      </w:r>
      <w:r>
        <w:rPr>
          <w:rFonts w:ascii="Arial" w:hAnsi="Arial"/>
          <w:sz w:val="13"/>
        </w:rPr>
        <w:t>Fonte: Secretaria Geral – SEG</w:t>
      </w:r>
    </w:p>
    <w:p w:rsidR="005D5823" w:rsidRDefault="005D5823" w:rsidP="005D5823">
      <w:pPr>
        <w:pStyle w:val="Recuodecorpodetexto"/>
        <w:ind w:firstLine="1134"/>
        <w:rPr>
          <w:sz w:val="22"/>
        </w:rPr>
      </w:pPr>
    </w:p>
    <w:p w:rsidR="00A65B40" w:rsidRDefault="00A65B40" w:rsidP="005D5823">
      <w:pPr>
        <w:pStyle w:val="Recuodecorpodetexto"/>
        <w:ind w:firstLine="1134"/>
        <w:rPr>
          <w:sz w:val="22"/>
        </w:rPr>
      </w:pPr>
    </w:p>
    <w:p w:rsidR="005D5823" w:rsidRPr="002B3F33" w:rsidRDefault="008474D5" w:rsidP="005D5823">
      <w:pPr>
        <w:pStyle w:val="Recuodecorpodetexto"/>
        <w:ind w:firstLine="1134"/>
        <w:rPr>
          <w:color w:val="000000" w:themeColor="text1"/>
          <w:sz w:val="22"/>
        </w:rPr>
      </w:pPr>
      <w:r>
        <w:rPr>
          <w:sz w:val="22"/>
        </w:rPr>
        <w:t xml:space="preserve">No </w:t>
      </w:r>
      <w:r w:rsidR="003C3296">
        <w:rPr>
          <w:sz w:val="22"/>
        </w:rPr>
        <w:t>segundo</w:t>
      </w:r>
      <w:r w:rsidR="006B353B">
        <w:rPr>
          <w:sz w:val="22"/>
        </w:rPr>
        <w:t xml:space="preserve"> trimestre de 201</w:t>
      </w:r>
      <w:r w:rsidR="007F2D03">
        <w:rPr>
          <w:sz w:val="22"/>
        </w:rPr>
        <w:t>5</w:t>
      </w:r>
      <w:r w:rsidR="005D5823">
        <w:rPr>
          <w:sz w:val="22"/>
        </w:rPr>
        <w:t xml:space="preserve">, foram adotadas providências para a execução de débitos imputados e de multas aplicadas em decisões do Tribunal, previstas no Regimento Interno, art. 63, em processos que, somados, totalizam </w:t>
      </w:r>
      <w:r w:rsidR="005D5823" w:rsidRPr="00997C8C">
        <w:rPr>
          <w:sz w:val="22"/>
        </w:rPr>
        <w:t xml:space="preserve">R$ </w:t>
      </w:r>
      <w:r w:rsidR="00A65B40" w:rsidRPr="00A65B40">
        <w:rPr>
          <w:sz w:val="22"/>
        </w:rPr>
        <w:t>20.941.367,92</w:t>
      </w:r>
      <w:r w:rsidR="002B3F33" w:rsidRPr="00A65B40">
        <w:rPr>
          <w:sz w:val="22"/>
        </w:rPr>
        <w:t xml:space="preserve"> </w:t>
      </w:r>
      <w:r w:rsidR="005D5823" w:rsidRPr="00A65B40">
        <w:rPr>
          <w:sz w:val="22"/>
        </w:rPr>
        <w:t>(</w:t>
      </w:r>
      <w:r w:rsidR="00A65B40" w:rsidRPr="00A65B40">
        <w:rPr>
          <w:sz w:val="22"/>
        </w:rPr>
        <w:t xml:space="preserve">vinte </w:t>
      </w:r>
      <w:r w:rsidR="000267BC" w:rsidRPr="00A65B40">
        <w:rPr>
          <w:sz w:val="22"/>
        </w:rPr>
        <w:t xml:space="preserve">milhões, </w:t>
      </w:r>
      <w:r w:rsidR="00A65B40" w:rsidRPr="00A65B40">
        <w:rPr>
          <w:sz w:val="22"/>
        </w:rPr>
        <w:t>novecentos e quarenta e um</w:t>
      </w:r>
      <w:r w:rsidR="000267BC" w:rsidRPr="00A65B40">
        <w:rPr>
          <w:sz w:val="22"/>
        </w:rPr>
        <w:t xml:space="preserve"> mil, </w:t>
      </w:r>
      <w:r w:rsidR="00A65B40" w:rsidRPr="00A65B40">
        <w:rPr>
          <w:sz w:val="22"/>
        </w:rPr>
        <w:t>trezentos e sessenta e sete</w:t>
      </w:r>
      <w:r w:rsidR="000267BC" w:rsidRPr="00A65B40">
        <w:rPr>
          <w:sz w:val="22"/>
        </w:rPr>
        <w:t xml:space="preserve"> reais </w:t>
      </w:r>
      <w:r w:rsidR="00997C8C" w:rsidRPr="00A65B40">
        <w:rPr>
          <w:sz w:val="22"/>
        </w:rPr>
        <w:t xml:space="preserve">e </w:t>
      </w:r>
      <w:r w:rsidR="00A65B40" w:rsidRPr="00A65B40">
        <w:rPr>
          <w:sz w:val="22"/>
        </w:rPr>
        <w:t>noventa e dois</w:t>
      </w:r>
      <w:r w:rsidR="005D5823" w:rsidRPr="002B3F33">
        <w:rPr>
          <w:color w:val="000000" w:themeColor="text1"/>
          <w:sz w:val="22"/>
        </w:rPr>
        <w:t xml:space="preserve"> centavos), conforme demonstra a Tabela 0</w:t>
      </w:r>
      <w:r w:rsidR="00E76299" w:rsidRPr="002B3F33">
        <w:rPr>
          <w:color w:val="000000" w:themeColor="text1"/>
          <w:sz w:val="22"/>
        </w:rPr>
        <w:t>6</w:t>
      </w:r>
      <w:r w:rsidR="005D5823" w:rsidRPr="002B3F33">
        <w:rPr>
          <w:color w:val="000000" w:themeColor="text1"/>
          <w:sz w:val="22"/>
        </w:rPr>
        <w:t>.</w:t>
      </w:r>
    </w:p>
    <w:p w:rsidR="005D5823" w:rsidRDefault="005D5823" w:rsidP="005D5823">
      <w:pPr>
        <w:pStyle w:val="Recuodecorpodetexto"/>
        <w:ind w:firstLine="1134"/>
        <w:rPr>
          <w:sz w:val="22"/>
        </w:rPr>
      </w:pPr>
    </w:p>
    <w:p w:rsidR="005D5823" w:rsidRPr="00A23F04" w:rsidRDefault="005D5823" w:rsidP="005D5823">
      <w:pPr>
        <w:pStyle w:val="Ttulo2"/>
        <w:jc w:val="both"/>
        <w:rPr>
          <w:rFonts w:ascii="Arial" w:hAnsi="Arial"/>
          <w:color w:val="1F497D" w:themeColor="text2"/>
          <w:sz w:val="22"/>
        </w:rPr>
      </w:pPr>
      <w:r w:rsidRPr="00A23F04">
        <w:rPr>
          <w:rFonts w:ascii="Arial" w:hAnsi="Arial"/>
          <w:color w:val="1F497D" w:themeColor="text2"/>
          <w:sz w:val="22"/>
        </w:rPr>
        <w:t>TABELA 0</w:t>
      </w:r>
      <w:r w:rsidR="00E76299" w:rsidRPr="00A23F04">
        <w:rPr>
          <w:rFonts w:ascii="Arial" w:hAnsi="Arial"/>
          <w:color w:val="1F497D" w:themeColor="text2"/>
          <w:sz w:val="22"/>
        </w:rPr>
        <w:t>6</w:t>
      </w:r>
      <w:r w:rsidRPr="00A23F04">
        <w:rPr>
          <w:rFonts w:ascii="Arial" w:hAnsi="Arial"/>
          <w:color w:val="1F497D" w:themeColor="text2"/>
          <w:sz w:val="22"/>
        </w:rPr>
        <w:t xml:space="preserve"> - DECISÕES DEFINITIVAS DO TRIBUNAL PLENO COM ENCAMINHAMENTO PARA COBRANÇA DE DÉBITOS E MULTAS </w:t>
      </w:r>
    </w:p>
    <w:tbl>
      <w:tblPr>
        <w:tblW w:w="9333" w:type="dxa"/>
        <w:jc w:val="center"/>
        <w:tblInd w:w="1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5289"/>
        <w:gridCol w:w="16"/>
        <w:gridCol w:w="384"/>
        <w:gridCol w:w="876"/>
        <w:gridCol w:w="117"/>
        <w:gridCol w:w="1300"/>
        <w:gridCol w:w="1086"/>
        <w:gridCol w:w="165"/>
        <w:gridCol w:w="25"/>
      </w:tblGrid>
      <w:tr w:rsidR="005D5823" w:rsidTr="00A65B40">
        <w:trPr>
          <w:gridAfter w:val="1"/>
          <w:wAfter w:w="25" w:type="dxa"/>
          <w:cantSplit/>
          <w:jc w:val="center"/>
        </w:trPr>
        <w:tc>
          <w:tcPr>
            <w:tcW w:w="5764" w:type="dxa"/>
            <w:gridSpan w:val="4"/>
            <w:vMerge w:val="restart"/>
            <w:tcBorders>
              <w:top w:val="single" w:sz="12" w:space="0" w:color="1F497D" w:themeColor="text2"/>
            </w:tcBorders>
            <w:shd w:val="clear" w:color="auto" w:fill="1F497D" w:themeFill="text2"/>
            <w:vAlign w:val="center"/>
          </w:tcPr>
          <w:p w:rsidR="005D5823" w:rsidRPr="004F56D6" w:rsidRDefault="005D5823" w:rsidP="003F5926">
            <w:pPr>
              <w:pStyle w:val="Ttulo2"/>
              <w:rPr>
                <w:rFonts w:ascii="Arial" w:hAnsi="Arial"/>
                <w:color w:val="FFFFFF" w:themeColor="background1"/>
                <w:sz w:val="16"/>
              </w:rPr>
            </w:pPr>
            <w:r w:rsidRPr="004F56D6">
              <w:rPr>
                <w:rFonts w:ascii="Arial" w:hAnsi="Arial"/>
                <w:color w:val="FFFFFF" w:themeColor="background1"/>
                <w:sz w:val="16"/>
              </w:rPr>
              <w:t>Tipos de Processo</w:t>
            </w:r>
          </w:p>
        </w:tc>
        <w:tc>
          <w:tcPr>
            <w:tcW w:w="3544" w:type="dxa"/>
            <w:gridSpan w:val="5"/>
            <w:tcBorders>
              <w:top w:val="single" w:sz="12" w:space="0" w:color="1F497D" w:themeColor="text2"/>
            </w:tcBorders>
            <w:shd w:val="clear" w:color="auto" w:fill="1F497D" w:themeFill="text2"/>
            <w:vAlign w:val="center"/>
          </w:tcPr>
          <w:p w:rsidR="005D5823" w:rsidRPr="004F56D6" w:rsidRDefault="005D5823" w:rsidP="00750884">
            <w:pPr>
              <w:pStyle w:val="Ttulo2"/>
              <w:ind w:right="293"/>
              <w:rPr>
                <w:rFonts w:ascii="Arial" w:hAnsi="Arial"/>
                <w:color w:val="FFFFFF" w:themeColor="background1"/>
                <w:sz w:val="16"/>
              </w:rPr>
            </w:pPr>
            <w:r w:rsidRPr="004F56D6">
              <w:rPr>
                <w:rFonts w:ascii="Arial" w:hAnsi="Arial"/>
                <w:color w:val="FFFFFF" w:themeColor="background1"/>
                <w:sz w:val="16"/>
              </w:rPr>
              <w:t>Cobrança</w:t>
            </w:r>
          </w:p>
        </w:tc>
      </w:tr>
      <w:tr w:rsidR="005D5823" w:rsidTr="00A65B40">
        <w:trPr>
          <w:gridAfter w:val="1"/>
          <w:wAfter w:w="25" w:type="dxa"/>
          <w:cantSplit/>
          <w:trHeight w:val="132"/>
          <w:jc w:val="center"/>
        </w:trPr>
        <w:tc>
          <w:tcPr>
            <w:tcW w:w="5764" w:type="dxa"/>
            <w:gridSpan w:val="4"/>
            <w:vMerge/>
            <w:shd w:val="clear" w:color="auto" w:fill="1F497D" w:themeFill="text2"/>
          </w:tcPr>
          <w:p w:rsidR="005D5823" w:rsidRPr="004F56D6" w:rsidRDefault="005D5823" w:rsidP="003F5926">
            <w:pPr>
              <w:spacing w:before="60"/>
              <w:jc w:val="center"/>
              <w:rPr>
                <w:rFonts w:ascii="Arial" w:hAnsi="Arial"/>
                <w:color w:val="FFFFFF" w:themeColor="background1"/>
                <w:sz w:val="16"/>
              </w:rPr>
            </w:pPr>
          </w:p>
        </w:tc>
        <w:tc>
          <w:tcPr>
            <w:tcW w:w="993" w:type="dxa"/>
            <w:gridSpan w:val="2"/>
            <w:shd w:val="clear" w:color="auto" w:fill="1F497D" w:themeFill="text2"/>
          </w:tcPr>
          <w:p w:rsidR="005D5823" w:rsidRPr="004F56D6" w:rsidRDefault="005D5823" w:rsidP="00750884">
            <w:pPr>
              <w:pStyle w:val="Ttulo5"/>
              <w:ind w:right="293" w:firstLine="18"/>
              <w:jc w:val="left"/>
              <w:rPr>
                <w:rFonts w:ascii="Arial" w:hAnsi="Arial"/>
                <w:color w:val="FFFFFF" w:themeColor="background1"/>
                <w:sz w:val="16"/>
              </w:rPr>
            </w:pPr>
            <w:r w:rsidRPr="004F56D6">
              <w:rPr>
                <w:rFonts w:ascii="Arial" w:hAnsi="Arial"/>
                <w:color w:val="FFFFFF" w:themeColor="background1"/>
                <w:sz w:val="16"/>
              </w:rPr>
              <w:t>Multas</w:t>
            </w:r>
          </w:p>
        </w:tc>
        <w:tc>
          <w:tcPr>
            <w:tcW w:w="1300" w:type="dxa"/>
            <w:shd w:val="clear" w:color="auto" w:fill="1F497D" w:themeFill="text2"/>
          </w:tcPr>
          <w:p w:rsidR="005D5823" w:rsidRPr="004F56D6" w:rsidRDefault="005D5823" w:rsidP="0096591F">
            <w:pPr>
              <w:pStyle w:val="Ttulo3"/>
              <w:spacing w:before="0"/>
              <w:ind w:left="-83" w:right="123"/>
              <w:jc w:val="right"/>
              <w:rPr>
                <w:color w:val="FFFFFF" w:themeColor="background1"/>
              </w:rPr>
            </w:pPr>
            <w:r w:rsidRPr="004F56D6">
              <w:rPr>
                <w:color w:val="FFFFFF" w:themeColor="background1"/>
              </w:rPr>
              <w:t>Débitos</w:t>
            </w:r>
          </w:p>
        </w:tc>
        <w:tc>
          <w:tcPr>
            <w:tcW w:w="1251" w:type="dxa"/>
            <w:gridSpan w:val="2"/>
            <w:shd w:val="clear" w:color="auto" w:fill="1F497D" w:themeFill="text2"/>
            <w:vAlign w:val="center"/>
          </w:tcPr>
          <w:p w:rsidR="005D5823" w:rsidRPr="004F56D6" w:rsidRDefault="005D5823" w:rsidP="00750884">
            <w:pPr>
              <w:ind w:right="-107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</w:rPr>
              <w:t xml:space="preserve">      Total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 - Auditoria de Atos de Pessoal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 - Auditoria de Registros Contábeis e Execução Orçamentária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 - Auditoria Ordinária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 - Denúncia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RLI - Inspeção Ordinária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8.600,00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8.600,00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PCA - Prestação de Contas Anual de Unidade Gestora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750884" w:rsidP="00A65B40">
            <w:pPr>
              <w:ind w:left="-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55.138,76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56.138,76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PCA - Prestação de Contas de Administrador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750884" w:rsidP="00A65B40">
            <w:pPr>
              <w:ind w:left="-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125.364,98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129.564,98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PMO - Processo de Monitoramento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LCC - Processo Licitatório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2.400,00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REP - Representação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REP - Representação - art. 113, § 1º, da Lei nº 8.666/93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4.600,00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4.600,00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RPL - Representação - Licitação (Art.113 Lei 8666/93)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REP - Representação de Agente Público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A65B40" w:rsidP="00A65B40">
            <w:pPr>
              <w:ind w:left="-8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</w:t>
            </w:r>
            <w:r w:rsidR="0075088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SPC - Solicitação de Prestações de Contas de Recursos Antecipados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455.774,50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750884" w:rsidP="00A65B40">
            <w:pPr>
              <w:ind w:left="-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8.255.170,87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8.710.945,37</w:t>
            </w:r>
          </w:p>
        </w:tc>
      </w:tr>
      <w:tr w:rsidR="00750884" w:rsidTr="00A65B4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9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750884" w:rsidRDefault="00750884" w:rsidP="007508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TCE - Tomada de Contas Especial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750884" w:rsidRDefault="00750884" w:rsidP="00750884">
            <w:pPr>
              <w:ind w:right="29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148.710,68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750884" w:rsidRDefault="00750884" w:rsidP="00A65B40">
            <w:pPr>
              <w:ind w:left="-8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11.867.208,13</w:t>
            </w:r>
          </w:p>
        </w:tc>
        <w:tc>
          <w:tcPr>
            <w:tcW w:w="1086" w:type="dxa"/>
            <w:shd w:val="solid" w:color="FFFFFF" w:fill="auto"/>
            <w:vAlign w:val="bottom"/>
          </w:tcPr>
          <w:p w:rsidR="00750884" w:rsidRDefault="00750884" w:rsidP="00750884">
            <w:pPr>
              <w:ind w:right="-107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12.015.918,81</w:t>
            </w:r>
          </w:p>
        </w:tc>
      </w:tr>
      <w:tr w:rsidR="00750884" w:rsidRPr="004A1968" w:rsidTr="00A65B40">
        <w:tblPrEx>
          <w:tblCellMar>
            <w:left w:w="108" w:type="dxa"/>
            <w:right w:w="108" w:type="dxa"/>
          </w:tblCellMar>
        </w:tblPrEx>
        <w:trPr>
          <w:trHeight w:val="301"/>
          <w:jc w:val="center"/>
        </w:trPr>
        <w:tc>
          <w:tcPr>
            <w:tcW w:w="5380" w:type="dxa"/>
            <w:gridSpan w:val="3"/>
            <w:tcBorders>
              <w:bottom w:val="single" w:sz="12" w:space="0" w:color="1F497D" w:themeColor="text2"/>
            </w:tcBorders>
            <w:shd w:val="clear" w:color="FFFFFF" w:fill="1F497D" w:themeFill="text2"/>
          </w:tcPr>
          <w:p w:rsidR="00750884" w:rsidRPr="004F56D6" w:rsidRDefault="00750884" w:rsidP="003F5926">
            <w:pPr>
              <w:pStyle w:val="Ttulo2"/>
              <w:rPr>
                <w:rFonts w:ascii="Arial" w:hAnsi="Arial"/>
                <w:color w:val="FFFFFF" w:themeColor="background1"/>
                <w:sz w:val="16"/>
              </w:rPr>
            </w:pPr>
          </w:p>
        </w:tc>
        <w:tc>
          <w:tcPr>
            <w:tcW w:w="1377" w:type="dxa"/>
            <w:gridSpan w:val="3"/>
            <w:tcBorders>
              <w:bottom w:val="single" w:sz="12" w:space="0" w:color="1F497D" w:themeColor="text2"/>
            </w:tcBorders>
            <w:shd w:val="clear" w:color="FFFFFF" w:fill="1F497D" w:themeFill="text2"/>
            <w:vAlign w:val="bottom"/>
          </w:tcPr>
          <w:p w:rsidR="00750884" w:rsidRPr="00750884" w:rsidRDefault="00750884" w:rsidP="00750884">
            <w:pPr>
              <w:ind w:left="-83" w:right="424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5088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638.485,18</w:t>
            </w:r>
          </w:p>
        </w:tc>
        <w:tc>
          <w:tcPr>
            <w:tcW w:w="1300" w:type="dxa"/>
            <w:tcBorders>
              <w:bottom w:val="single" w:sz="12" w:space="0" w:color="1F497D" w:themeColor="text2"/>
            </w:tcBorders>
            <w:shd w:val="clear" w:color="FFFFFF" w:fill="1F497D" w:themeFill="text2"/>
            <w:vAlign w:val="bottom"/>
          </w:tcPr>
          <w:p w:rsidR="00750884" w:rsidRPr="00750884" w:rsidRDefault="00750884" w:rsidP="00A65B40">
            <w:pPr>
              <w:ind w:left="-83" w:right="21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5088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20.302.882,7</w:t>
            </w:r>
            <w:r w:rsidR="00A65B4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bottom w:val="single" w:sz="12" w:space="0" w:color="1F497D" w:themeColor="text2"/>
            </w:tcBorders>
            <w:shd w:val="clear" w:color="FFFFFF" w:fill="1F497D" w:themeFill="text2"/>
            <w:vAlign w:val="bottom"/>
          </w:tcPr>
          <w:p w:rsidR="00750884" w:rsidRPr="00750884" w:rsidRDefault="00750884" w:rsidP="00A65B40">
            <w:pPr>
              <w:ind w:left="-96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75088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20.941.367,92</w:t>
            </w:r>
          </w:p>
        </w:tc>
      </w:tr>
    </w:tbl>
    <w:p w:rsidR="005D5823" w:rsidRPr="007C7933" w:rsidRDefault="005D5823" w:rsidP="007C7933">
      <w:pPr>
        <w:pStyle w:val="Ttulo2"/>
        <w:jc w:val="left"/>
        <w:rPr>
          <w:rFonts w:ascii="Arial" w:hAnsi="Arial"/>
          <w:sz w:val="13"/>
          <w:szCs w:val="13"/>
        </w:rPr>
      </w:pPr>
      <w:r w:rsidRPr="007C7933">
        <w:rPr>
          <w:rFonts w:ascii="Arial" w:hAnsi="Arial"/>
          <w:sz w:val="13"/>
          <w:szCs w:val="13"/>
        </w:rPr>
        <w:t xml:space="preserve"> Fonte: Secretaria Geral -SEG</w:t>
      </w:r>
    </w:p>
    <w:p w:rsidR="005D5823" w:rsidRDefault="005D5823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A65B40" w:rsidRDefault="00A65B40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A65B40" w:rsidRDefault="00A65B40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DC0507" w:rsidRPr="00DF5813" w:rsidRDefault="005D5823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2.4.2</w:t>
      </w:r>
      <w:r w:rsidR="00DC0507" w:rsidRPr="00DF5813">
        <w:rPr>
          <w:rFonts w:ascii="Arial" w:hAnsi="Arial"/>
          <w:b/>
          <w:color w:val="1F497D" w:themeColor="text2"/>
          <w:sz w:val="22"/>
        </w:rPr>
        <w:t>. Processos Autuados</w:t>
      </w:r>
    </w:p>
    <w:p w:rsidR="00DC0507" w:rsidRDefault="00DC0507" w:rsidP="00DC0507">
      <w:pPr>
        <w:pStyle w:val="Subttulo"/>
        <w:jc w:val="both"/>
        <w:rPr>
          <w:rFonts w:ascii="Arial" w:hAnsi="Arial"/>
          <w:sz w:val="22"/>
        </w:rPr>
      </w:pPr>
    </w:p>
    <w:p w:rsidR="00DC0507" w:rsidRPr="00602650" w:rsidRDefault="008474D5" w:rsidP="00DC0507">
      <w:pPr>
        <w:ind w:firstLine="1134"/>
        <w:jc w:val="both"/>
        <w:rPr>
          <w:rFonts w:ascii="Arial" w:hAnsi="Arial"/>
          <w:color w:val="000000" w:themeColor="text1"/>
          <w:sz w:val="22"/>
        </w:rPr>
      </w:pPr>
      <w:r w:rsidRPr="003462E8">
        <w:rPr>
          <w:rFonts w:ascii="Arial" w:hAnsi="Arial"/>
          <w:sz w:val="22"/>
        </w:rPr>
        <w:t xml:space="preserve">No </w:t>
      </w:r>
      <w:r w:rsidR="003C3296">
        <w:rPr>
          <w:rFonts w:ascii="Arial" w:hAnsi="Arial"/>
          <w:sz w:val="22"/>
        </w:rPr>
        <w:t>segundo</w:t>
      </w:r>
      <w:r w:rsidR="006B353B">
        <w:rPr>
          <w:rFonts w:ascii="Arial" w:hAnsi="Arial"/>
          <w:sz w:val="22"/>
        </w:rPr>
        <w:t xml:space="preserve"> trimestre de 201</w:t>
      </w:r>
      <w:r w:rsidR="00DF57C4">
        <w:rPr>
          <w:rFonts w:ascii="Arial" w:hAnsi="Arial"/>
          <w:sz w:val="22"/>
        </w:rPr>
        <w:t>5</w:t>
      </w:r>
      <w:r w:rsidR="00DC0507" w:rsidRPr="003462E8">
        <w:rPr>
          <w:rFonts w:ascii="Arial" w:hAnsi="Arial"/>
          <w:sz w:val="22"/>
        </w:rPr>
        <w:t xml:space="preserve">, </w:t>
      </w:r>
      <w:r w:rsidR="00DC0507" w:rsidRPr="00921A79">
        <w:rPr>
          <w:rFonts w:ascii="Arial" w:hAnsi="Arial"/>
          <w:color w:val="000000" w:themeColor="text1"/>
          <w:sz w:val="22"/>
        </w:rPr>
        <w:t xml:space="preserve">foram </w:t>
      </w:r>
      <w:r w:rsidR="00DC0507" w:rsidRPr="00602650">
        <w:rPr>
          <w:rFonts w:ascii="Arial" w:hAnsi="Arial"/>
          <w:color w:val="000000" w:themeColor="text1"/>
          <w:sz w:val="22"/>
        </w:rPr>
        <w:t xml:space="preserve">autuados </w:t>
      </w:r>
      <w:r w:rsidR="00152842" w:rsidRPr="00602650">
        <w:rPr>
          <w:rFonts w:ascii="Arial" w:hAnsi="Arial"/>
          <w:color w:val="000000" w:themeColor="text1"/>
          <w:sz w:val="22"/>
        </w:rPr>
        <w:t>1.</w:t>
      </w:r>
      <w:r w:rsidR="00602650" w:rsidRPr="00602650">
        <w:rPr>
          <w:rFonts w:ascii="Arial" w:hAnsi="Arial"/>
          <w:color w:val="000000" w:themeColor="text1"/>
          <w:sz w:val="22"/>
        </w:rPr>
        <w:t>907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processos  na Secretaria Geral do Tribunal de Contas, destacando-se os processos</w:t>
      </w:r>
      <w:r w:rsidR="00DC0507" w:rsidRPr="0080343E">
        <w:rPr>
          <w:rFonts w:ascii="Arial" w:hAnsi="Arial"/>
          <w:color w:val="000000" w:themeColor="text1"/>
          <w:sz w:val="22"/>
        </w:rPr>
        <w:t xml:space="preserve"> de </w:t>
      </w:r>
      <w:r w:rsidR="009962A6" w:rsidRPr="0080343E">
        <w:rPr>
          <w:rFonts w:ascii="Arial" w:hAnsi="Arial"/>
          <w:color w:val="000000" w:themeColor="text1"/>
          <w:sz w:val="22"/>
        </w:rPr>
        <w:t>Registro de Ato de Aposentadoria</w:t>
      </w:r>
      <w:r w:rsidR="00DC0507" w:rsidRPr="0080343E">
        <w:rPr>
          <w:rFonts w:ascii="Arial" w:hAnsi="Arial"/>
          <w:color w:val="000000" w:themeColor="text1"/>
          <w:sz w:val="22"/>
        </w:rPr>
        <w:t xml:space="preserve">, </w:t>
      </w:r>
      <w:r w:rsidR="00DC0507" w:rsidRPr="00602650">
        <w:rPr>
          <w:rFonts w:ascii="Arial" w:hAnsi="Arial"/>
          <w:color w:val="000000" w:themeColor="text1"/>
          <w:sz w:val="22"/>
        </w:rPr>
        <w:t xml:space="preserve">com </w:t>
      </w:r>
      <w:r w:rsidR="00602650" w:rsidRPr="00602650">
        <w:rPr>
          <w:rFonts w:ascii="Arial" w:hAnsi="Arial"/>
          <w:color w:val="000000" w:themeColor="text1"/>
          <w:sz w:val="22"/>
        </w:rPr>
        <w:t>41,22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% (</w:t>
      </w:r>
      <w:r w:rsidR="0080343E" w:rsidRPr="00602650">
        <w:rPr>
          <w:rFonts w:ascii="Arial" w:hAnsi="Arial"/>
          <w:color w:val="000000" w:themeColor="text1"/>
          <w:sz w:val="22"/>
        </w:rPr>
        <w:t xml:space="preserve">quarenta </w:t>
      </w:r>
      <w:r w:rsidR="00921A79" w:rsidRPr="00602650">
        <w:rPr>
          <w:rFonts w:ascii="Arial" w:hAnsi="Arial"/>
          <w:color w:val="000000" w:themeColor="text1"/>
          <w:sz w:val="22"/>
        </w:rPr>
        <w:t xml:space="preserve">e </w:t>
      </w:r>
      <w:r w:rsidR="00602650" w:rsidRPr="00602650">
        <w:rPr>
          <w:rFonts w:ascii="Arial" w:hAnsi="Arial"/>
          <w:color w:val="000000" w:themeColor="text1"/>
          <w:sz w:val="22"/>
        </w:rPr>
        <w:t>um</w:t>
      </w:r>
      <w:r w:rsidR="0080343E" w:rsidRPr="00602650">
        <w:rPr>
          <w:rFonts w:ascii="Arial" w:hAnsi="Arial"/>
          <w:color w:val="000000" w:themeColor="text1"/>
          <w:sz w:val="22"/>
        </w:rPr>
        <w:t xml:space="preserve"> vírgula</w:t>
      </w:r>
      <w:r w:rsidR="004D7477" w:rsidRPr="00602650">
        <w:rPr>
          <w:rFonts w:ascii="Arial" w:hAnsi="Arial"/>
          <w:color w:val="000000" w:themeColor="text1"/>
          <w:sz w:val="22"/>
        </w:rPr>
        <w:t xml:space="preserve"> </w:t>
      </w:r>
      <w:r w:rsidR="00F240EF" w:rsidRPr="00602650">
        <w:rPr>
          <w:rFonts w:ascii="Arial" w:hAnsi="Arial"/>
          <w:color w:val="000000" w:themeColor="text1"/>
          <w:sz w:val="22"/>
        </w:rPr>
        <w:t xml:space="preserve"> </w:t>
      </w:r>
      <w:r w:rsidR="00602650" w:rsidRPr="00602650">
        <w:rPr>
          <w:rFonts w:ascii="Arial" w:hAnsi="Arial"/>
          <w:color w:val="000000" w:themeColor="text1"/>
          <w:sz w:val="22"/>
        </w:rPr>
        <w:t>vinte e dois</w:t>
      </w:r>
      <w:r w:rsidR="0080343E" w:rsidRPr="00602650">
        <w:rPr>
          <w:rFonts w:ascii="Arial" w:hAnsi="Arial"/>
          <w:color w:val="000000" w:themeColor="text1"/>
          <w:sz w:val="22"/>
        </w:rPr>
        <w:t xml:space="preserve"> </w:t>
      </w:r>
      <w:r w:rsidR="00F240EF" w:rsidRPr="00602650">
        <w:rPr>
          <w:rFonts w:ascii="Arial" w:hAnsi="Arial"/>
          <w:color w:val="000000" w:themeColor="text1"/>
          <w:sz w:val="22"/>
        </w:rPr>
        <w:t>por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cento</w:t>
      </w:r>
      <w:r w:rsidR="00EF53B3" w:rsidRPr="00602650">
        <w:rPr>
          <w:rFonts w:ascii="Arial" w:hAnsi="Arial"/>
          <w:color w:val="000000" w:themeColor="text1"/>
          <w:sz w:val="22"/>
        </w:rPr>
        <w:t>)</w:t>
      </w:r>
      <w:r w:rsidR="00DC0507" w:rsidRPr="00602650">
        <w:rPr>
          <w:rFonts w:ascii="Arial" w:hAnsi="Arial"/>
          <w:color w:val="000000" w:themeColor="text1"/>
          <w:sz w:val="22"/>
        </w:rPr>
        <w:t>,</w:t>
      </w:r>
      <w:r w:rsidR="00DC0507" w:rsidRPr="003C3296">
        <w:rPr>
          <w:rFonts w:ascii="Arial" w:hAnsi="Arial"/>
          <w:color w:val="FF0000"/>
          <w:sz w:val="22"/>
        </w:rPr>
        <w:t xml:space="preserve"> </w:t>
      </w:r>
      <w:r w:rsidR="00406899" w:rsidRPr="003C3296">
        <w:rPr>
          <w:rFonts w:ascii="Arial" w:hAnsi="Arial"/>
          <w:color w:val="FF0000"/>
          <w:sz w:val="22"/>
        </w:rPr>
        <w:t xml:space="preserve"> </w:t>
      </w:r>
      <w:r w:rsidR="0080343E" w:rsidRPr="00602650">
        <w:rPr>
          <w:rFonts w:ascii="Arial" w:hAnsi="Arial"/>
          <w:color w:val="000000" w:themeColor="text1"/>
          <w:sz w:val="22"/>
        </w:rPr>
        <w:t>Registro de Ato de Transferência para a Reserva Remunerada</w:t>
      </w:r>
      <w:r w:rsidR="004D7477" w:rsidRPr="00602650">
        <w:rPr>
          <w:rFonts w:ascii="Arial" w:hAnsi="Arial"/>
          <w:color w:val="000000" w:themeColor="text1"/>
          <w:sz w:val="22"/>
        </w:rPr>
        <w:t xml:space="preserve"> </w:t>
      </w:r>
      <w:r w:rsidR="0033320B" w:rsidRPr="00602650">
        <w:rPr>
          <w:rFonts w:ascii="Arial" w:hAnsi="Arial"/>
          <w:color w:val="000000" w:themeColor="text1"/>
          <w:sz w:val="22"/>
        </w:rPr>
        <w:t xml:space="preserve"> 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com</w:t>
      </w:r>
      <w:r w:rsidR="00DC0507" w:rsidRPr="003C3296">
        <w:rPr>
          <w:rFonts w:ascii="Arial" w:hAnsi="Arial"/>
          <w:color w:val="FF0000"/>
          <w:sz w:val="22"/>
        </w:rPr>
        <w:t xml:space="preserve"> </w:t>
      </w:r>
      <w:r w:rsidR="00602650" w:rsidRPr="00602650">
        <w:rPr>
          <w:rFonts w:ascii="Arial" w:hAnsi="Arial"/>
          <w:color w:val="000000" w:themeColor="text1"/>
          <w:sz w:val="22"/>
        </w:rPr>
        <w:t>17,30</w:t>
      </w:r>
      <w:r w:rsidR="00DC0507" w:rsidRPr="00602650">
        <w:rPr>
          <w:rFonts w:ascii="Arial" w:hAnsi="Arial"/>
          <w:color w:val="000000" w:themeColor="text1"/>
          <w:sz w:val="22"/>
        </w:rPr>
        <w:t>% (</w:t>
      </w:r>
      <w:r w:rsidR="00602650" w:rsidRPr="00602650">
        <w:rPr>
          <w:rFonts w:ascii="Arial" w:hAnsi="Arial"/>
          <w:color w:val="000000" w:themeColor="text1"/>
          <w:sz w:val="22"/>
        </w:rPr>
        <w:t>dezessete</w:t>
      </w:r>
      <w:r w:rsidR="00F85753" w:rsidRPr="00602650">
        <w:rPr>
          <w:rFonts w:ascii="Arial" w:hAnsi="Arial"/>
          <w:color w:val="000000" w:themeColor="text1"/>
          <w:sz w:val="22"/>
        </w:rPr>
        <w:t xml:space="preserve"> vírgula </w:t>
      </w:r>
      <w:r w:rsidR="00602650" w:rsidRPr="00602650">
        <w:rPr>
          <w:rFonts w:ascii="Arial" w:hAnsi="Arial"/>
          <w:color w:val="000000" w:themeColor="text1"/>
          <w:sz w:val="22"/>
        </w:rPr>
        <w:t>trinta</w:t>
      </w:r>
      <w:r w:rsidR="0080343E" w:rsidRPr="00602650">
        <w:rPr>
          <w:rFonts w:ascii="Arial" w:hAnsi="Arial"/>
          <w:color w:val="000000" w:themeColor="text1"/>
          <w:sz w:val="22"/>
        </w:rPr>
        <w:t xml:space="preserve"> </w:t>
      </w:r>
      <w:r w:rsidR="00DC0507" w:rsidRPr="00602650">
        <w:rPr>
          <w:rFonts w:ascii="Arial" w:hAnsi="Arial"/>
          <w:color w:val="000000" w:themeColor="text1"/>
          <w:sz w:val="22"/>
        </w:rPr>
        <w:t>por cento)</w:t>
      </w:r>
      <w:r w:rsidR="00E76299" w:rsidRPr="00602650">
        <w:rPr>
          <w:rFonts w:ascii="Arial" w:hAnsi="Arial"/>
          <w:color w:val="000000" w:themeColor="text1"/>
          <w:sz w:val="22"/>
        </w:rPr>
        <w:t>,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</w:t>
      </w:r>
      <w:r w:rsidR="00602650" w:rsidRPr="00602650">
        <w:rPr>
          <w:rFonts w:ascii="Arial" w:hAnsi="Arial"/>
          <w:color w:val="000000" w:themeColor="text1"/>
          <w:sz w:val="22"/>
        </w:rPr>
        <w:t>Registro do Ato de Pensão e Auxílio Especial</w:t>
      </w:r>
      <w:r w:rsidR="00DC0507" w:rsidRPr="00602650">
        <w:rPr>
          <w:rFonts w:ascii="Arial" w:hAnsi="Arial"/>
          <w:color w:val="000000" w:themeColor="text1"/>
          <w:sz w:val="22"/>
        </w:rPr>
        <w:t xml:space="preserve">, com </w:t>
      </w:r>
      <w:r w:rsidR="00602650" w:rsidRPr="00602650">
        <w:rPr>
          <w:rFonts w:ascii="Arial" w:hAnsi="Arial"/>
          <w:color w:val="000000" w:themeColor="text1"/>
          <w:sz w:val="22"/>
        </w:rPr>
        <w:t>14,37</w:t>
      </w:r>
      <w:r w:rsidR="00DC0507" w:rsidRPr="00602650">
        <w:rPr>
          <w:rFonts w:ascii="Arial" w:hAnsi="Arial"/>
          <w:color w:val="000000" w:themeColor="text1"/>
          <w:sz w:val="22"/>
        </w:rPr>
        <w:t>% (</w:t>
      </w:r>
      <w:r w:rsidR="00602650" w:rsidRPr="00602650">
        <w:rPr>
          <w:rFonts w:ascii="Arial" w:hAnsi="Arial"/>
          <w:color w:val="000000" w:themeColor="text1"/>
          <w:sz w:val="22"/>
        </w:rPr>
        <w:t>quatorze</w:t>
      </w:r>
      <w:r w:rsidR="00F85753" w:rsidRPr="00602650">
        <w:rPr>
          <w:rFonts w:ascii="Arial" w:hAnsi="Arial"/>
          <w:color w:val="000000" w:themeColor="text1"/>
          <w:sz w:val="22"/>
        </w:rPr>
        <w:t xml:space="preserve"> vírgula </w:t>
      </w:r>
      <w:r w:rsidR="00602650" w:rsidRPr="00602650">
        <w:rPr>
          <w:rFonts w:ascii="Arial" w:hAnsi="Arial"/>
          <w:color w:val="000000" w:themeColor="text1"/>
          <w:sz w:val="22"/>
        </w:rPr>
        <w:t>trinta e sete</w:t>
      </w:r>
      <w:r w:rsidR="004D7477" w:rsidRPr="00602650">
        <w:rPr>
          <w:rFonts w:ascii="Arial" w:hAnsi="Arial"/>
          <w:color w:val="000000" w:themeColor="text1"/>
          <w:sz w:val="22"/>
        </w:rPr>
        <w:t xml:space="preserve"> </w:t>
      </w:r>
      <w:r w:rsidR="00DC0507" w:rsidRPr="00602650">
        <w:rPr>
          <w:rFonts w:ascii="Arial" w:hAnsi="Arial"/>
          <w:color w:val="000000" w:themeColor="text1"/>
          <w:sz w:val="22"/>
        </w:rPr>
        <w:t>por cento). Os processos autuados no</w:t>
      </w:r>
      <w:r w:rsidR="003C1C7A" w:rsidRPr="00602650">
        <w:rPr>
          <w:rFonts w:ascii="Arial" w:hAnsi="Arial"/>
          <w:color w:val="000000" w:themeColor="text1"/>
          <w:sz w:val="22"/>
        </w:rPr>
        <w:t xml:space="preserve"> </w:t>
      </w:r>
      <w:r w:rsidR="003C3296" w:rsidRPr="00602650">
        <w:rPr>
          <w:rFonts w:ascii="Arial" w:hAnsi="Arial"/>
          <w:color w:val="000000" w:themeColor="text1"/>
          <w:sz w:val="22"/>
        </w:rPr>
        <w:t xml:space="preserve">segundo 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</w:t>
      </w:r>
      <w:r w:rsidR="00072DFC" w:rsidRPr="00602650">
        <w:rPr>
          <w:rFonts w:ascii="Arial" w:hAnsi="Arial"/>
          <w:color w:val="000000" w:themeColor="text1"/>
          <w:sz w:val="22"/>
        </w:rPr>
        <w:t>trimestre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 de 201</w:t>
      </w:r>
      <w:r w:rsidR="00B90E87" w:rsidRPr="00602650">
        <w:rPr>
          <w:rFonts w:ascii="Arial" w:hAnsi="Arial"/>
          <w:color w:val="000000" w:themeColor="text1"/>
          <w:sz w:val="22"/>
        </w:rPr>
        <w:t>5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constam da tabela </w:t>
      </w:r>
      <w:r w:rsidR="008D3D76" w:rsidRPr="00602650">
        <w:rPr>
          <w:rFonts w:ascii="Arial" w:hAnsi="Arial"/>
          <w:color w:val="000000" w:themeColor="text1"/>
          <w:sz w:val="22"/>
        </w:rPr>
        <w:t>a seguir</w:t>
      </w:r>
      <w:r w:rsidR="00DC0507" w:rsidRPr="00602650">
        <w:rPr>
          <w:rFonts w:ascii="Arial" w:hAnsi="Arial"/>
          <w:color w:val="000000" w:themeColor="text1"/>
          <w:sz w:val="22"/>
        </w:rPr>
        <w:t>.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Default="00DC0507" w:rsidP="00DC0507">
      <w:pPr>
        <w:pStyle w:val="ttulo10"/>
        <w:tabs>
          <w:tab w:val="clear" w:pos="1276"/>
          <w:tab w:val="clear" w:pos="1418"/>
        </w:tabs>
        <w:rPr>
          <w:rFonts w:ascii="Arial" w:hAnsi="Arial"/>
          <w:caps w:val="0"/>
          <w:sz w:val="22"/>
        </w:rPr>
      </w:pPr>
    </w:p>
    <w:p w:rsidR="00DC0507" w:rsidRPr="00DF5813" w:rsidRDefault="00DC0507" w:rsidP="00DC0507">
      <w:pPr>
        <w:pStyle w:val="Ttulo2"/>
        <w:jc w:val="both"/>
        <w:rPr>
          <w:rFonts w:ascii="Arial" w:hAnsi="Arial"/>
          <w:color w:val="1F497D" w:themeColor="text2"/>
          <w:sz w:val="22"/>
        </w:rPr>
      </w:pPr>
      <w:r w:rsidRPr="00DF5813">
        <w:rPr>
          <w:rFonts w:ascii="Arial" w:hAnsi="Arial"/>
          <w:color w:val="1F497D" w:themeColor="text2"/>
          <w:sz w:val="22"/>
        </w:rPr>
        <w:lastRenderedPageBreak/>
        <w:t>TABELA 0</w:t>
      </w:r>
      <w:r w:rsidR="00E76299" w:rsidRPr="00DF5813">
        <w:rPr>
          <w:rFonts w:ascii="Arial" w:hAnsi="Arial"/>
          <w:color w:val="1F497D" w:themeColor="text2"/>
          <w:sz w:val="22"/>
        </w:rPr>
        <w:t>7</w:t>
      </w:r>
      <w:r w:rsidRPr="00DF5813">
        <w:rPr>
          <w:rFonts w:ascii="Arial" w:hAnsi="Arial"/>
          <w:color w:val="1F497D" w:themeColor="text2"/>
          <w:sz w:val="22"/>
        </w:rPr>
        <w:t xml:space="preserve"> - PROCESSOS AUTUADOS  </w:t>
      </w:r>
      <w:r w:rsidR="008474D5" w:rsidRPr="00DF5813">
        <w:rPr>
          <w:rFonts w:ascii="Arial" w:hAnsi="Arial"/>
          <w:color w:val="1F497D" w:themeColor="text2"/>
          <w:sz w:val="22"/>
        </w:rPr>
        <w:t xml:space="preserve">NO </w:t>
      </w:r>
      <w:r w:rsidR="003C3296">
        <w:rPr>
          <w:rFonts w:ascii="Arial" w:hAnsi="Arial"/>
          <w:color w:val="1F497D" w:themeColor="text2"/>
          <w:sz w:val="22"/>
        </w:rPr>
        <w:t>SEGUNDO</w:t>
      </w:r>
      <w:r w:rsidR="006B353B" w:rsidRPr="00DF5813">
        <w:rPr>
          <w:rFonts w:ascii="Arial" w:hAnsi="Arial"/>
          <w:color w:val="1F497D" w:themeColor="text2"/>
          <w:sz w:val="22"/>
        </w:rPr>
        <w:t xml:space="preserve"> TRIMESTRE DE 201</w:t>
      </w:r>
      <w:r w:rsidR="007F2D03">
        <w:rPr>
          <w:rFonts w:ascii="Arial" w:hAnsi="Arial"/>
          <w:color w:val="1F497D" w:themeColor="text2"/>
          <w:sz w:val="22"/>
        </w:rPr>
        <w:t>5</w:t>
      </w:r>
    </w:p>
    <w:tbl>
      <w:tblPr>
        <w:tblW w:w="9341" w:type="dxa"/>
        <w:jc w:val="center"/>
        <w:tblBorders>
          <w:top w:val="single" w:sz="20" w:space="0" w:color="800000"/>
          <w:left w:val="single" w:sz="4" w:space="0" w:color="800000"/>
          <w:bottom w:val="single" w:sz="20" w:space="0" w:color="800000"/>
          <w:insideH w:val="single" w:sz="20" w:space="0" w:color="800000"/>
          <w:insideV w:val="single" w:sz="4" w:space="0" w:color="800000"/>
        </w:tblBorders>
        <w:tblLayout w:type="fixed"/>
        <w:tblLook w:val="0000"/>
      </w:tblPr>
      <w:tblGrid>
        <w:gridCol w:w="56"/>
        <w:gridCol w:w="291"/>
        <w:gridCol w:w="5981"/>
        <w:gridCol w:w="70"/>
        <w:gridCol w:w="278"/>
        <w:gridCol w:w="685"/>
        <w:gridCol w:w="425"/>
        <w:gridCol w:w="1138"/>
        <w:gridCol w:w="417"/>
      </w:tblGrid>
      <w:tr w:rsidR="00DC0507" w:rsidTr="00602650">
        <w:trPr>
          <w:gridBefore w:val="1"/>
          <w:wBefore w:w="56" w:type="dxa"/>
          <w:trHeight w:val="293"/>
          <w:jc w:val="center"/>
        </w:trPr>
        <w:tc>
          <w:tcPr>
            <w:tcW w:w="6342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solid" w:color="1F497D" w:themeColor="text2" w:fill="FFFFFF" w:themeFill="background1"/>
          </w:tcPr>
          <w:p w:rsidR="00DC0507" w:rsidRPr="004F56D6" w:rsidRDefault="00DC0507" w:rsidP="00F85753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Tipo de Processo</w:t>
            </w:r>
          </w:p>
        </w:tc>
        <w:tc>
          <w:tcPr>
            <w:tcW w:w="1388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solid" w:color="1F497D" w:themeColor="text2" w:fill="FFFFFF" w:themeFill="background1"/>
          </w:tcPr>
          <w:p w:rsidR="00DC0507" w:rsidRPr="004F56D6" w:rsidRDefault="00DC0507" w:rsidP="00F85753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Quantidade</w:t>
            </w:r>
          </w:p>
        </w:tc>
        <w:tc>
          <w:tcPr>
            <w:tcW w:w="1555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solid" w:color="1F497D" w:themeColor="text2" w:fill="FFFFFF" w:themeFill="background1"/>
          </w:tcPr>
          <w:p w:rsidR="00DC0507" w:rsidRPr="004F56D6" w:rsidRDefault="00DC0507" w:rsidP="00F85753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%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APE - Registro de Ato de Aposentadoria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41,22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PE - Registro de Ato de Reforma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0,42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APE - Registro de Ato de Transferência para a Reserva Remunerada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17,30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APE - Retificação de Ato Aposentatório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APE - Revogação de Registro de Ato Aposentatório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CON - Consulta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1,15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DEN - Denúncia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1,57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Contrato Decorrente de Licitação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LRF - Verificação da Lei de Responsabilidade Fiscal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PCG - Prestação de Contas do Governador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PCP - Prestação de Contas do Prefeito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6,92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- Prestação de Contas de Recursos Antecipados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0,47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- Prestação de Contas de Recursos Repassados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PDA - Pedido de Auditoria ALESC - LC 202/2000, Art. 1º, V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PNO - Processo Normativo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0,37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PPA - Registro do Ato de Pensão e Auxílio Especial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14,37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Agravo - art. 82 da LC 202/2000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0,16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Embargos de Declaração - art.78 da LC 202/2000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0,79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Reconsideração - art. 77 da LC 202/2000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2,57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Reexame - art. 80 da LC 202/2000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2,10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REC - Reexame de Conselheiro - art. 81 da LC 202/2000  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- art. 113, § 1º, da Lei nº 8.666/93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1,78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de Agente Público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1,68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do Ministério Pùblico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do Ministério Público junto ao Tribunal de Contas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0,52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do Poder Judiciário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0,16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REV - Revisão - art. 83 da LC 202/2000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0,63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Atos de Pessoal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0,16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Registros Contábeis e Execução Orçamentária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0,16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em Licitações e Contratos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Especial - art. 3º, I, da Resolução TC-10/2007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Operacional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Ordinária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1,10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Ordinária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0,47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referente a Atos de Pessoal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0,05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referente a Registros Contábeis e Execução Orçamentária 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</w:tr>
      <w:tr w:rsidR="00A65B40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TCE - Tomada de Contas Especial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65B40" w:rsidRDefault="00A65B40" w:rsidP="00602650">
            <w:pPr>
              <w:tabs>
                <w:tab w:val="left" w:pos="718"/>
              </w:tabs>
              <w:ind w:left="-132" w:right="435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65B40" w:rsidRDefault="00A65B40" w:rsidP="00A65B40">
            <w:pPr>
              <w:ind w:left="-84" w:right="34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1,42</w:t>
            </w:r>
          </w:p>
        </w:tc>
      </w:tr>
      <w:tr w:rsidR="00056539" w:rsidRPr="0033320B" w:rsidTr="00602650">
        <w:tblPrEx>
          <w:tblBorders>
            <w:left w:val="single" w:sz="1" w:space="0" w:color="800000"/>
            <w:insideV w:val="single" w:sz="1" w:space="0" w:color="800000"/>
          </w:tblBorders>
        </w:tblPrEx>
        <w:trPr>
          <w:trHeight w:val="113"/>
          <w:jc w:val="center"/>
        </w:trPr>
        <w:tc>
          <w:tcPr>
            <w:tcW w:w="6328" w:type="dxa"/>
            <w:gridSpan w:val="3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000000"/>
          </w:tcPr>
          <w:p w:rsidR="00056539" w:rsidRPr="00C353A2" w:rsidRDefault="00056539" w:rsidP="000721EC">
            <w:pPr>
              <w:pStyle w:val="Ttulo3"/>
              <w:spacing w:before="0"/>
              <w:rPr>
                <w:snapToGrid w:val="0"/>
                <w:color w:val="FFFFFF" w:themeColor="background1"/>
              </w:rPr>
            </w:pPr>
          </w:p>
          <w:p w:rsidR="00056539" w:rsidRPr="00C353A2" w:rsidRDefault="00056539" w:rsidP="000721EC">
            <w:pPr>
              <w:pStyle w:val="Ttulo3"/>
              <w:spacing w:before="0"/>
              <w:rPr>
                <w:snapToGrid w:val="0"/>
                <w:color w:val="FFFFFF" w:themeColor="background1"/>
              </w:rPr>
            </w:pPr>
            <w:r w:rsidRPr="00C353A2">
              <w:rPr>
                <w:snapToGrid w:val="0"/>
                <w:color w:val="FFFFFF" w:themeColor="background1"/>
              </w:rPr>
              <w:t>T o t a l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000000"/>
            <w:vAlign w:val="bottom"/>
          </w:tcPr>
          <w:p w:rsidR="00056539" w:rsidRPr="00056539" w:rsidRDefault="00602650" w:rsidP="00056539">
            <w:pPr>
              <w:pStyle w:val="Ttulo3"/>
              <w:spacing w:before="0"/>
              <w:jc w:val="right"/>
              <w:rPr>
                <w:snapToGrid w:val="0"/>
                <w:color w:val="FFFFFF" w:themeColor="background1"/>
              </w:rPr>
            </w:pPr>
            <w:r>
              <w:rPr>
                <w:snapToGrid w:val="0"/>
                <w:color w:val="FFFFFF" w:themeColor="background1"/>
              </w:rPr>
              <w:t>1.907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000000"/>
            <w:vAlign w:val="bottom"/>
          </w:tcPr>
          <w:p w:rsidR="00056539" w:rsidRPr="00056539" w:rsidRDefault="00602650" w:rsidP="00056539">
            <w:pPr>
              <w:pStyle w:val="Ttulo3"/>
              <w:spacing w:before="0"/>
              <w:ind w:right="451"/>
              <w:rPr>
                <w:snapToGrid w:val="0"/>
                <w:color w:val="FFFFFF" w:themeColor="background1"/>
              </w:rPr>
            </w:pPr>
            <w:r>
              <w:rPr>
                <w:snapToGrid w:val="0"/>
                <w:color w:val="FFFFFF" w:themeColor="background1"/>
              </w:rPr>
              <w:t xml:space="preserve">                     100</w:t>
            </w:r>
          </w:p>
        </w:tc>
      </w:tr>
    </w:tbl>
    <w:p w:rsidR="00DC0507" w:rsidRDefault="00DC0507" w:rsidP="00DC0507">
      <w:pPr>
        <w:pStyle w:val="Ttulo2"/>
        <w:jc w:val="left"/>
        <w:rPr>
          <w:rFonts w:ascii="Arial" w:hAnsi="Arial"/>
          <w:b w:val="0"/>
          <w:sz w:val="13"/>
        </w:rPr>
      </w:pPr>
      <w:r>
        <w:rPr>
          <w:rFonts w:ascii="Arial" w:hAnsi="Arial"/>
          <w:b w:val="0"/>
          <w:sz w:val="13"/>
        </w:rPr>
        <w:t xml:space="preserve"> Fonte: Secretaria Geral - SEG</w:t>
      </w:r>
    </w:p>
    <w:p w:rsidR="00DC0507" w:rsidRDefault="00DC0507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246E2A" w:rsidRDefault="00246E2A" w:rsidP="00DC0507">
      <w:pPr>
        <w:pStyle w:val="LDB"/>
        <w:widowControl/>
        <w:spacing w:before="0" w:after="0"/>
        <w:rPr>
          <w:rFonts w:ascii="Arial" w:hAnsi="Arial"/>
          <w:b/>
          <w:color w:val="1F497D" w:themeColor="text2"/>
          <w:sz w:val="22"/>
        </w:rPr>
      </w:pPr>
    </w:p>
    <w:p w:rsidR="00DC0507" w:rsidRPr="00DF5813" w:rsidRDefault="00DC0507" w:rsidP="00DC0507">
      <w:pPr>
        <w:pStyle w:val="LDB"/>
        <w:widowControl/>
        <w:spacing w:before="0" w:after="0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</w:t>
      </w:r>
      <w:r w:rsidR="005D5823" w:rsidRPr="00DF5813">
        <w:rPr>
          <w:rFonts w:ascii="Arial" w:hAnsi="Arial"/>
          <w:b/>
          <w:color w:val="1F497D" w:themeColor="text2"/>
          <w:sz w:val="22"/>
        </w:rPr>
        <w:t>5</w:t>
      </w:r>
      <w:r w:rsidRPr="00DF5813">
        <w:rPr>
          <w:rFonts w:ascii="Arial" w:hAnsi="Arial"/>
          <w:b/>
          <w:color w:val="1F497D" w:themeColor="text2"/>
          <w:sz w:val="22"/>
        </w:rPr>
        <w:t xml:space="preserve">. </w:t>
      </w:r>
      <w:r w:rsidR="005D5823" w:rsidRPr="00DF5813">
        <w:rPr>
          <w:rFonts w:ascii="Arial" w:hAnsi="Arial"/>
          <w:b/>
          <w:color w:val="1F497D" w:themeColor="text2"/>
          <w:sz w:val="22"/>
        </w:rPr>
        <w:t>Movimentação</w:t>
      </w:r>
      <w:r w:rsidRPr="00DF5813">
        <w:rPr>
          <w:rFonts w:ascii="Arial" w:hAnsi="Arial"/>
          <w:b/>
          <w:color w:val="1F497D" w:themeColor="text2"/>
          <w:sz w:val="22"/>
        </w:rPr>
        <w:t xml:space="preserve"> de Processos</w:t>
      </w:r>
    </w:p>
    <w:p w:rsidR="00DC0507" w:rsidRDefault="00DC0507" w:rsidP="00DC0507">
      <w:pPr>
        <w:pStyle w:val="LDB"/>
        <w:widowControl/>
        <w:spacing w:before="0" w:after="0"/>
        <w:rPr>
          <w:rFonts w:ascii="Arial" w:hAnsi="Arial"/>
          <w:b/>
          <w:sz w:val="22"/>
        </w:rPr>
      </w:pP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Os processos autuados são encaminhados para a análise técnica nas diretorias competentes. Após efetuada análise, o processo segue para emissão de parecer da Procuradoria junto ao Tribunal de Contas, podendo retornar à respectiva unidade para re-instrução.  Também o relator do processo pode, tendo promovido a audiência com o gestor e havendo novas informações a ser consideradas, determinar a reinstrução do processo. Assim, a movimentação dos processos registra o fluxo, a quantidade e a natureza do trabalho analítico do Tribunal de Contas. </w:t>
      </w:r>
    </w:p>
    <w:p w:rsidR="00DC0507" w:rsidRPr="00D41B46" w:rsidRDefault="00DC0507" w:rsidP="00DC0507">
      <w:pPr>
        <w:ind w:firstLine="113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A Tabela 0</w:t>
      </w:r>
      <w:r w:rsidR="00E76299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apresenta a movimentação de processos referente ao </w:t>
      </w:r>
      <w:r w:rsidR="003C3296">
        <w:rPr>
          <w:rFonts w:ascii="Arial" w:hAnsi="Arial"/>
          <w:sz w:val="22"/>
        </w:rPr>
        <w:t>segundo</w:t>
      </w:r>
      <w:r>
        <w:rPr>
          <w:rFonts w:ascii="Arial" w:hAnsi="Arial"/>
          <w:sz w:val="22"/>
        </w:rPr>
        <w:t xml:space="preserve"> trimestre do exercício </w:t>
      </w:r>
      <w:r w:rsidR="00AC41F5">
        <w:rPr>
          <w:rFonts w:ascii="Arial" w:hAnsi="Arial"/>
          <w:sz w:val="22"/>
        </w:rPr>
        <w:t>de 201</w:t>
      </w:r>
      <w:r w:rsidR="007F2D03">
        <w:rPr>
          <w:rFonts w:ascii="Arial" w:hAnsi="Arial"/>
          <w:sz w:val="22"/>
        </w:rPr>
        <w:t>5</w:t>
      </w:r>
      <w:r w:rsidR="00E172A7">
        <w:rPr>
          <w:rFonts w:ascii="Arial" w:hAnsi="Arial"/>
          <w:sz w:val="22"/>
        </w:rPr>
        <w:t>.</w:t>
      </w:r>
      <w:r w:rsidR="00AC41F5">
        <w:rPr>
          <w:rFonts w:ascii="Arial" w:hAnsi="Arial"/>
          <w:sz w:val="22"/>
        </w:rPr>
        <w:t xml:space="preserve"> </w:t>
      </w:r>
    </w:p>
    <w:p w:rsidR="00F85753" w:rsidRPr="004B1A45" w:rsidRDefault="00DC0507" w:rsidP="004B1A45">
      <w:pPr>
        <w:pStyle w:val="Subttulo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C0507" w:rsidRPr="00A23F04" w:rsidRDefault="00DC0507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A23F04">
        <w:rPr>
          <w:rFonts w:ascii="Arial" w:hAnsi="Arial"/>
          <w:b/>
          <w:color w:val="1F497D" w:themeColor="text2"/>
          <w:sz w:val="22"/>
        </w:rPr>
        <w:t>TABELA 0</w:t>
      </w:r>
      <w:r w:rsidR="00F56E5B" w:rsidRPr="00A23F04">
        <w:rPr>
          <w:rFonts w:ascii="Arial" w:hAnsi="Arial"/>
          <w:b/>
          <w:color w:val="1F497D" w:themeColor="text2"/>
          <w:sz w:val="22"/>
        </w:rPr>
        <w:t>8</w:t>
      </w:r>
      <w:r w:rsidRPr="00A23F04">
        <w:rPr>
          <w:rFonts w:ascii="Arial" w:hAnsi="Arial"/>
          <w:b/>
          <w:color w:val="1F497D" w:themeColor="text2"/>
          <w:sz w:val="22"/>
        </w:rPr>
        <w:t xml:space="preserve"> - MOVIMENTAÇÃO DE PROCESSOS NAS DIRETORIAS TÉCNICAS</w:t>
      </w:r>
    </w:p>
    <w:tbl>
      <w:tblPr>
        <w:tblW w:w="9072" w:type="dxa"/>
        <w:tblInd w:w="70" w:type="dxa"/>
        <w:tblBorders>
          <w:top w:val="single" w:sz="12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0"/>
        <w:gridCol w:w="142"/>
        <w:gridCol w:w="1130"/>
        <w:gridCol w:w="141"/>
        <w:gridCol w:w="1412"/>
        <w:gridCol w:w="873"/>
        <w:gridCol w:w="147"/>
        <w:gridCol w:w="111"/>
        <w:gridCol w:w="1695"/>
        <w:gridCol w:w="31"/>
      </w:tblGrid>
      <w:tr w:rsidR="00B42D3E" w:rsidRPr="00DF5813" w:rsidTr="00DF5813">
        <w:trPr>
          <w:gridAfter w:val="1"/>
          <w:wAfter w:w="31" w:type="dxa"/>
          <w:cantSplit/>
        </w:trPr>
        <w:tc>
          <w:tcPr>
            <w:tcW w:w="3390" w:type="dxa"/>
            <w:vMerge w:val="restart"/>
            <w:tcBorders>
              <w:top w:val="single" w:sz="12" w:space="0" w:color="1F497D" w:themeColor="text2"/>
            </w:tcBorders>
            <w:shd w:val="solid" w:color="1F497D" w:themeColor="text2" w:fill="FFFFFF" w:themeFill="background1"/>
          </w:tcPr>
          <w:p w:rsidR="00B42D3E" w:rsidRPr="00DF5813" w:rsidRDefault="00DC0507" w:rsidP="003B65A0">
            <w:pPr>
              <w:pStyle w:val="Ttulo3"/>
              <w:spacing w:before="0"/>
              <w:rPr>
                <w:color w:val="FFFFFF" w:themeColor="background1"/>
              </w:rPr>
            </w:pPr>
            <w:r w:rsidRPr="00DF5813">
              <w:rPr>
                <w:color w:val="FFFFFF" w:themeColor="background1"/>
                <w:sz w:val="12"/>
              </w:rPr>
              <w:t xml:space="preserve">    </w:t>
            </w:r>
            <w:r w:rsidR="003C6639" w:rsidRPr="00DF5813">
              <w:rPr>
                <w:color w:val="FFFFFF" w:themeColor="background1"/>
                <w:sz w:val="12"/>
              </w:rPr>
              <w:t xml:space="preserve">                 </w:t>
            </w:r>
            <w:r w:rsidR="00B42D3E" w:rsidRPr="00DF5813">
              <w:rPr>
                <w:color w:val="FFFFFF" w:themeColor="background1"/>
              </w:rPr>
              <w:t>Diretorias</w:t>
            </w:r>
          </w:p>
        </w:tc>
        <w:tc>
          <w:tcPr>
            <w:tcW w:w="5651" w:type="dxa"/>
            <w:gridSpan w:val="8"/>
            <w:tcBorders>
              <w:top w:val="single" w:sz="12" w:space="0" w:color="1F497D" w:themeColor="text2"/>
            </w:tcBorders>
            <w:shd w:val="solid" w:color="1F497D" w:themeColor="text2" w:fill="FFFFFF" w:themeFill="background1"/>
          </w:tcPr>
          <w:p w:rsidR="00B42D3E" w:rsidRPr="00DF5813" w:rsidRDefault="003C3296" w:rsidP="00D53A41">
            <w:pPr>
              <w:jc w:val="center"/>
              <w:rPr>
                <w:color w:val="FFFFFF" w:themeColor="background1"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</w:rPr>
              <w:t>2</w:t>
            </w:r>
            <w:r w:rsidR="00B42D3E" w:rsidRPr="00DF5813">
              <w:rPr>
                <w:rFonts w:ascii="Arial" w:hAnsi="Arial"/>
                <w:b/>
                <w:color w:val="FFFFFF" w:themeColor="background1"/>
                <w:sz w:val="16"/>
              </w:rPr>
              <w:t>° trimestre de 201</w:t>
            </w:r>
            <w:r w:rsidR="00D53A41">
              <w:rPr>
                <w:rFonts w:ascii="Arial" w:hAnsi="Arial"/>
                <w:b/>
                <w:color w:val="FFFFFF" w:themeColor="background1"/>
                <w:sz w:val="16"/>
              </w:rPr>
              <w:t>5</w:t>
            </w:r>
          </w:p>
        </w:tc>
      </w:tr>
      <w:tr w:rsidR="00B42D3E" w:rsidRPr="00DF5813" w:rsidTr="00DF5813">
        <w:trPr>
          <w:gridAfter w:val="1"/>
          <w:wAfter w:w="31" w:type="dxa"/>
          <w:cantSplit/>
        </w:trPr>
        <w:tc>
          <w:tcPr>
            <w:tcW w:w="3390" w:type="dxa"/>
            <w:vMerge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B65A0">
            <w:pPr>
              <w:rPr>
                <w:color w:val="FFFFFF" w:themeColor="background1"/>
              </w:rPr>
            </w:pPr>
          </w:p>
        </w:tc>
        <w:tc>
          <w:tcPr>
            <w:tcW w:w="1272" w:type="dxa"/>
            <w:gridSpan w:val="2"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B65A0">
            <w:pPr>
              <w:pStyle w:val="Subttulo"/>
              <w:jc w:val="center"/>
              <w:rPr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Saldo Inicial</w:t>
            </w:r>
          </w:p>
        </w:tc>
        <w:tc>
          <w:tcPr>
            <w:tcW w:w="1553" w:type="dxa"/>
            <w:gridSpan w:val="2"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02A47">
            <w:pPr>
              <w:pStyle w:val="Subttulo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Entrada de</w:t>
            </w:r>
          </w:p>
          <w:p w:rsidR="00B42D3E" w:rsidRPr="00DF5813" w:rsidRDefault="00B42D3E" w:rsidP="00302A47">
            <w:pPr>
              <w:jc w:val="center"/>
              <w:rPr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Processos</w:t>
            </w:r>
          </w:p>
        </w:tc>
        <w:tc>
          <w:tcPr>
            <w:tcW w:w="1131" w:type="dxa"/>
            <w:gridSpan w:val="3"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02A47">
            <w:pPr>
              <w:pStyle w:val="Subttulo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Saída de</w:t>
            </w:r>
          </w:p>
          <w:p w:rsidR="00B42D3E" w:rsidRPr="00DF5813" w:rsidRDefault="00B42D3E" w:rsidP="00302A47">
            <w:pPr>
              <w:jc w:val="center"/>
              <w:rPr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Processos</w:t>
            </w:r>
          </w:p>
        </w:tc>
        <w:tc>
          <w:tcPr>
            <w:tcW w:w="1695" w:type="dxa"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B65A0">
            <w:pPr>
              <w:jc w:val="center"/>
              <w:rPr>
                <w:color w:val="FFFFFF" w:themeColor="background1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Saldo Final</w:t>
            </w:r>
          </w:p>
        </w:tc>
      </w:tr>
      <w:tr w:rsidR="0025018D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bottom w:val="nil"/>
            </w:tcBorders>
          </w:tcPr>
          <w:p w:rsidR="0025018D" w:rsidRPr="003B65A0" w:rsidRDefault="0025018D" w:rsidP="003B65A0">
            <w:pPr>
              <w:pStyle w:val="Ttulo4"/>
              <w:jc w:val="left"/>
              <w:rPr>
                <w:rFonts w:ascii="Arial" w:hAnsi="Arial"/>
                <w:b w:val="0"/>
              </w:rPr>
            </w:pPr>
            <w:r w:rsidRPr="003B65A0">
              <w:rPr>
                <w:rFonts w:ascii="Arial" w:hAnsi="Arial"/>
                <w:b w:val="0"/>
              </w:rPr>
              <w:t>Diretoria de Contr. da Adm. Estadual - DCE</w:t>
            </w:r>
          </w:p>
        </w:tc>
        <w:tc>
          <w:tcPr>
            <w:tcW w:w="1271" w:type="dxa"/>
            <w:gridSpan w:val="2"/>
            <w:tcBorders>
              <w:bottom w:val="nil"/>
            </w:tcBorders>
            <w:vAlign w:val="bottom"/>
          </w:tcPr>
          <w:p w:rsidR="0025018D" w:rsidRPr="00224B0E" w:rsidRDefault="00B96036" w:rsidP="00E64871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927</w:t>
            </w:r>
          </w:p>
        </w:tc>
        <w:tc>
          <w:tcPr>
            <w:tcW w:w="1412" w:type="dxa"/>
            <w:tcBorders>
              <w:bottom w:val="nil"/>
            </w:tcBorders>
            <w:vAlign w:val="bottom"/>
          </w:tcPr>
          <w:p w:rsidR="0025018D" w:rsidRPr="00224B0E" w:rsidRDefault="00B96036" w:rsidP="0025018D">
            <w:pPr>
              <w:tabs>
                <w:tab w:val="left" w:pos="618"/>
              </w:tabs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687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25018D" w:rsidRPr="00224B0E" w:rsidRDefault="00B96036" w:rsidP="007349C7">
            <w:pPr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726</w:t>
            </w:r>
          </w:p>
        </w:tc>
        <w:tc>
          <w:tcPr>
            <w:tcW w:w="1984" w:type="dxa"/>
            <w:gridSpan w:val="4"/>
            <w:tcBorders>
              <w:bottom w:val="nil"/>
            </w:tcBorders>
            <w:vAlign w:val="bottom"/>
          </w:tcPr>
          <w:p w:rsidR="0025018D" w:rsidRPr="00224B0E" w:rsidRDefault="00B96036" w:rsidP="0025018D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888</w:t>
            </w:r>
          </w:p>
        </w:tc>
      </w:tr>
      <w:tr w:rsidR="0025018D" w:rsidRPr="00D406BB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bottom w:val="nil"/>
              <w:right w:val="nil"/>
            </w:tcBorders>
          </w:tcPr>
          <w:p w:rsidR="0025018D" w:rsidRPr="00D406BB" w:rsidRDefault="0025018D" w:rsidP="003B65A0">
            <w:pPr>
              <w:pStyle w:val="Ttulo4"/>
              <w:jc w:val="left"/>
              <w:rPr>
                <w:rFonts w:ascii="Arial" w:hAnsi="Arial"/>
                <w:b w:val="0"/>
                <w:color w:val="000000" w:themeColor="text1"/>
              </w:rPr>
            </w:pPr>
            <w:r w:rsidRPr="00D406BB">
              <w:rPr>
                <w:rFonts w:ascii="Arial" w:hAnsi="Arial"/>
                <w:b w:val="0"/>
                <w:color w:val="000000" w:themeColor="text1"/>
              </w:rPr>
              <w:t>Diretoria de Contr. de Lic. e Contratações - DLC</w:t>
            </w: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E64871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199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25018D">
            <w:pPr>
              <w:tabs>
                <w:tab w:val="left" w:pos="618"/>
              </w:tabs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384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387</w:t>
            </w:r>
          </w:p>
        </w:tc>
        <w:tc>
          <w:tcPr>
            <w:tcW w:w="1984" w:type="dxa"/>
            <w:gridSpan w:val="4"/>
            <w:tcBorders>
              <w:left w:val="nil"/>
              <w:bottom w:val="nil"/>
            </w:tcBorders>
            <w:vAlign w:val="bottom"/>
          </w:tcPr>
          <w:p w:rsidR="0025018D" w:rsidRPr="00224B0E" w:rsidRDefault="00017C49" w:rsidP="0025018D">
            <w:pPr>
              <w:tabs>
                <w:tab w:val="left" w:pos="618"/>
              </w:tabs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196</w:t>
            </w:r>
          </w:p>
        </w:tc>
      </w:tr>
      <w:tr w:rsidR="0025018D" w:rsidRPr="000B435F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25018D" w:rsidRPr="000B435F" w:rsidRDefault="0025018D" w:rsidP="003B65A0">
            <w:pPr>
              <w:pStyle w:val="Ttulo4"/>
              <w:jc w:val="left"/>
              <w:rPr>
                <w:rFonts w:ascii="Arial" w:hAnsi="Arial"/>
                <w:b w:val="0"/>
                <w:color w:val="000000" w:themeColor="text1"/>
              </w:rPr>
            </w:pPr>
            <w:r w:rsidRPr="000B435F">
              <w:rPr>
                <w:rFonts w:ascii="Arial" w:hAnsi="Arial"/>
                <w:b w:val="0"/>
                <w:color w:val="000000" w:themeColor="text1"/>
              </w:rPr>
              <w:t>Diretoria de Contr. dos Municípios - DMU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E64871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1.887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25018D">
            <w:pPr>
              <w:tabs>
                <w:tab w:val="left" w:pos="618"/>
              </w:tabs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5018D" w:rsidRPr="00224B0E" w:rsidRDefault="00017C49" w:rsidP="0025018D">
            <w:pPr>
              <w:tabs>
                <w:tab w:val="left" w:pos="618"/>
              </w:tabs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1.810</w:t>
            </w:r>
          </w:p>
        </w:tc>
      </w:tr>
      <w:tr w:rsidR="0025018D" w:rsidRPr="000B435F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25018D" w:rsidRPr="000B435F" w:rsidRDefault="0025018D" w:rsidP="003B65A0">
            <w:pPr>
              <w:rPr>
                <w:rFonts w:ascii="Arial" w:hAnsi="Arial"/>
                <w:snapToGrid w:val="0"/>
                <w:color w:val="000000" w:themeColor="text1"/>
                <w:sz w:val="15"/>
              </w:rPr>
            </w:pPr>
            <w:r w:rsidRPr="000B435F">
              <w:rPr>
                <w:rFonts w:ascii="Arial" w:hAnsi="Arial"/>
                <w:snapToGrid w:val="0"/>
                <w:color w:val="000000" w:themeColor="text1"/>
                <w:sz w:val="15"/>
              </w:rPr>
              <w:t>Diretoria de Atividades Especiais - DAE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B96036" w:rsidP="00E64871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B96036" w:rsidP="0025018D">
            <w:pPr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B96036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5018D" w:rsidRPr="00224B0E" w:rsidRDefault="00B96036" w:rsidP="0025018D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41</w:t>
            </w:r>
          </w:p>
        </w:tc>
      </w:tr>
      <w:tr w:rsidR="0025018D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25018D" w:rsidRPr="003B65A0" w:rsidRDefault="0025018D" w:rsidP="003B65A0">
            <w:pPr>
              <w:rPr>
                <w:rFonts w:ascii="Arial" w:hAnsi="Arial"/>
                <w:snapToGrid w:val="0"/>
                <w:sz w:val="15"/>
              </w:rPr>
            </w:pPr>
            <w:r w:rsidRPr="003B65A0">
              <w:rPr>
                <w:rFonts w:ascii="Arial" w:hAnsi="Arial"/>
                <w:snapToGrid w:val="0"/>
                <w:sz w:val="15"/>
              </w:rPr>
              <w:t>Diretoria de Controle de Atos de Pessoal - DAP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A95001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6.268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25018D">
            <w:pPr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1.010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017C49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2.226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5018D" w:rsidRPr="00224B0E" w:rsidRDefault="00017C49" w:rsidP="0025018D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5.052</w:t>
            </w:r>
          </w:p>
        </w:tc>
      </w:tr>
      <w:tr w:rsidR="0025018D" w:rsidRPr="00E32B86" w:rsidTr="00DF5813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25018D" w:rsidRPr="00E32B86" w:rsidRDefault="0025018D" w:rsidP="003B65A0">
            <w:pPr>
              <w:rPr>
                <w:rFonts w:ascii="Arial" w:hAnsi="Arial"/>
                <w:snapToGrid w:val="0"/>
                <w:color w:val="000000" w:themeColor="text1"/>
                <w:sz w:val="15"/>
              </w:rPr>
            </w:pPr>
            <w:r w:rsidRPr="00E32B86">
              <w:rPr>
                <w:rFonts w:ascii="Arial" w:hAnsi="Arial"/>
                <w:snapToGrid w:val="0"/>
                <w:color w:val="000000" w:themeColor="text1"/>
                <w:sz w:val="15"/>
              </w:rPr>
              <w:t>Consultoria Geral - COG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B55FED" w:rsidP="00E64871">
            <w:pPr>
              <w:tabs>
                <w:tab w:val="left" w:pos="613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202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B55FED" w:rsidP="0025018D">
            <w:pPr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224B0E" w:rsidRDefault="00B55FED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5018D" w:rsidRPr="00224B0E" w:rsidRDefault="00B55FED" w:rsidP="0025018D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223</w:t>
            </w:r>
          </w:p>
        </w:tc>
      </w:tr>
      <w:tr w:rsidR="00474620" w:rsidRPr="00E32B86" w:rsidTr="00DF5813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474620" w:rsidRPr="00E32B86" w:rsidRDefault="00474620" w:rsidP="003B65A0">
            <w:pPr>
              <w:rPr>
                <w:rFonts w:ascii="Arial" w:hAnsi="Arial"/>
                <w:snapToGrid w:val="0"/>
                <w:color w:val="000000" w:themeColor="text1"/>
                <w:sz w:val="15"/>
              </w:rPr>
            </w:pPr>
            <w:r>
              <w:rPr>
                <w:rFonts w:ascii="Arial" w:hAnsi="Arial"/>
                <w:snapToGrid w:val="0"/>
                <w:color w:val="000000" w:themeColor="text1"/>
                <w:sz w:val="15"/>
              </w:rPr>
              <w:t>Diretoria de Recursos e Reexames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620" w:rsidRPr="00224B0E" w:rsidRDefault="00B55FED" w:rsidP="00E64871">
            <w:pPr>
              <w:tabs>
                <w:tab w:val="left" w:pos="613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620" w:rsidRPr="00224B0E" w:rsidRDefault="00B55FED" w:rsidP="0025018D">
            <w:pPr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556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620" w:rsidRPr="00224B0E" w:rsidRDefault="00B55FED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654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474620" w:rsidRPr="00224B0E" w:rsidRDefault="00B55FED" w:rsidP="0025018D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441</w:t>
            </w:r>
          </w:p>
        </w:tc>
      </w:tr>
      <w:tr w:rsidR="00B55FED" w:rsidRPr="00DF5813" w:rsidTr="00DF5813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single" w:sz="12" w:space="0" w:color="1F497D" w:themeColor="text2"/>
              <w:right w:val="nil"/>
            </w:tcBorders>
            <w:shd w:val="solid" w:color="1F497D" w:themeColor="text2" w:fill="FFFFFF" w:themeFill="background1"/>
            <w:vAlign w:val="center"/>
          </w:tcPr>
          <w:p w:rsidR="00B55FED" w:rsidRPr="00DF5813" w:rsidRDefault="00B55FED" w:rsidP="00474620">
            <w:pPr>
              <w:pStyle w:val="Ttulo7"/>
              <w:rPr>
                <w:color w:val="FFFFFF" w:themeColor="background1"/>
              </w:rPr>
            </w:pPr>
            <w:r w:rsidRPr="00DF5813">
              <w:rPr>
                <w:color w:val="FFFFFF" w:themeColor="background1"/>
                <w:sz w:val="16"/>
              </w:rPr>
              <w:t>TOTAL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FFFFFF" w:themeFill="background1"/>
            <w:vAlign w:val="bottom"/>
          </w:tcPr>
          <w:p w:rsidR="00B55FED" w:rsidRPr="00B55FED" w:rsidRDefault="00B55FED" w:rsidP="00B55FED">
            <w:pPr>
              <w:ind w:left="-238" w:right="442" w:hanging="238"/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B55FED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10</w:t>
            </w: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.</w:t>
            </w:r>
            <w:r w:rsidRPr="00B55FED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063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FFFFFF" w:themeFill="background1"/>
            <w:vAlign w:val="bottom"/>
          </w:tcPr>
          <w:p w:rsidR="00B55FED" w:rsidRPr="00B55FED" w:rsidRDefault="00B55FED" w:rsidP="00B55FED">
            <w:pPr>
              <w:ind w:left="-91" w:right="437"/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B55FED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3</w:t>
            </w: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.</w:t>
            </w:r>
            <w:r w:rsidRPr="00B55FED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155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FFFFFF" w:themeFill="background1"/>
            <w:vAlign w:val="bottom"/>
          </w:tcPr>
          <w:p w:rsidR="00B55FED" w:rsidRPr="00B55FED" w:rsidRDefault="00B55FED" w:rsidP="00B55FED">
            <w:pPr>
              <w:tabs>
                <w:tab w:val="left" w:pos="765"/>
              </w:tabs>
              <w:ind w:right="181"/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B55FED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4</w:t>
            </w: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.</w:t>
            </w:r>
            <w:r w:rsidRPr="00B55FED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567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12" w:space="0" w:color="1F497D" w:themeColor="text2"/>
            </w:tcBorders>
            <w:shd w:val="solid" w:color="1F497D" w:themeColor="text2" w:fill="FFFFFF" w:themeFill="background1"/>
            <w:vAlign w:val="bottom"/>
          </w:tcPr>
          <w:p w:rsidR="00B55FED" w:rsidRPr="00B55FED" w:rsidRDefault="00B55FED" w:rsidP="00B55FED">
            <w:pPr>
              <w:ind w:right="459"/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B55FED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8</w:t>
            </w: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.</w:t>
            </w:r>
            <w:r w:rsidRPr="00B55FED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651</w:t>
            </w:r>
          </w:p>
        </w:tc>
      </w:tr>
    </w:tbl>
    <w:p w:rsidR="00B42D3E" w:rsidRDefault="00E172A7" w:rsidP="00474620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>Fonte: Diretorias Técnicas.</w:t>
      </w:r>
    </w:p>
    <w:p w:rsidR="00E172A7" w:rsidRPr="00B42D3E" w:rsidRDefault="00E172A7" w:rsidP="00B42D3E"/>
    <w:p w:rsidR="00DC0507" w:rsidRPr="00C531FD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 w:rsidRPr="008B2A6E">
        <w:rPr>
          <w:rFonts w:ascii="Arial" w:hAnsi="Arial"/>
          <w:color w:val="000000" w:themeColor="text1"/>
          <w:sz w:val="22"/>
        </w:rPr>
        <w:lastRenderedPageBreak/>
        <w:t>Considerando os dados da movimentação de processos nas Diretorias Técnicas do Tribunal, agregados para visualização no Gráfico 0</w:t>
      </w:r>
      <w:r w:rsidR="002D24A7" w:rsidRPr="008B2A6E">
        <w:rPr>
          <w:rFonts w:ascii="Arial" w:hAnsi="Arial"/>
          <w:color w:val="000000" w:themeColor="text1"/>
          <w:sz w:val="22"/>
        </w:rPr>
        <w:t>2</w:t>
      </w:r>
      <w:r w:rsidRPr="008B2A6E">
        <w:rPr>
          <w:rFonts w:ascii="Arial" w:hAnsi="Arial"/>
          <w:color w:val="000000" w:themeColor="text1"/>
          <w:sz w:val="22"/>
        </w:rPr>
        <w:t xml:space="preserve">, pode-se inferir que cada um dos </w:t>
      </w:r>
      <w:r w:rsidR="00B65537">
        <w:rPr>
          <w:rFonts w:ascii="Arial" w:hAnsi="Arial"/>
          <w:color w:val="000000" w:themeColor="text1"/>
          <w:sz w:val="22"/>
        </w:rPr>
        <w:t>341</w:t>
      </w:r>
      <w:r w:rsidRPr="00A95A1A">
        <w:rPr>
          <w:rFonts w:ascii="Arial" w:hAnsi="Arial"/>
          <w:color w:val="000000" w:themeColor="text1"/>
          <w:sz w:val="22"/>
        </w:rPr>
        <w:t xml:space="preserve"> servidores com Nível Superior (Tabela </w:t>
      </w:r>
      <w:r w:rsidRPr="00864DEC">
        <w:rPr>
          <w:rFonts w:ascii="Arial" w:hAnsi="Arial"/>
          <w:color w:val="000000" w:themeColor="text1"/>
          <w:sz w:val="22"/>
        </w:rPr>
        <w:t>1</w:t>
      </w:r>
      <w:r w:rsidR="00E76299" w:rsidRPr="00864DEC">
        <w:rPr>
          <w:rFonts w:ascii="Arial" w:hAnsi="Arial"/>
          <w:color w:val="000000" w:themeColor="text1"/>
          <w:sz w:val="22"/>
        </w:rPr>
        <w:t>7</w:t>
      </w:r>
      <w:r w:rsidRPr="00864DEC">
        <w:rPr>
          <w:rFonts w:ascii="Arial" w:hAnsi="Arial"/>
          <w:color w:val="000000" w:themeColor="text1"/>
          <w:sz w:val="22"/>
        </w:rPr>
        <w:t xml:space="preserve">, pág. </w:t>
      </w:r>
      <w:r w:rsidR="008B2A6E" w:rsidRPr="00864DEC">
        <w:rPr>
          <w:rFonts w:ascii="Arial" w:hAnsi="Arial"/>
          <w:color w:val="000000" w:themeColor="text1"/>
          <w:sz w:val="22"/>
        </w:rPr>
        <w:t>2</w:t>
      </w:r>
      <w:r w:rsidR="003432C1">
        <w:rPr>
          <w:rFonts w:ascii="Arial" w:hAnsi="Arial"/>
          <w:color w:val="000000" w:themeColor="text1"/>
          <w:sz w:val="22"/>
        </w:rPr>
        <w:t>6</w:t>
      </w:r>
      <w:r w:rsidRPr="00864DEC">
        <w:rPr>
          <w:rFonts w:ascii="Arial" w:hAnsi="Arial"/>
          <w:color w:val="000000" w:themeColor="text1"/>
          <w:sz w:val="22"/>
        </w:rPr>
        <w:t xml:space="preserve">) lotados nessas unidades, atuou, em média, sobre </w:t>
      </w:r>
      <w:r w:rsidR="006745AA">
        <w:rPr>
          <w:rFonts w:ascii="Arial" w:hAnsi="Arial"/>
          <w:color w:val="000000" w:themeColor="text1"/>
          <w:sz w:val="22"/>
        </w:rPr>
        <w:t>6,17</w:t>
      </w:r>
      <w:r w:rsidRPr="00864DEC">
        <w:rPr>
          <w:rFonts w:ascii="Arial" w:hAnsi="Arial"/>
          <w:color w:val="000000" w:themeColor="text1"/>
          <w:sz w:val="22"/>
        </w:rPr>
        <w:t xml:space="preserve"> processos no </w:t>
      </w:r>
      <w:r w:rsidR="003C3296" w:rsidRPr="00864DEC">
        <w:rPr>
          <w:rFonts w:ascii="Arial" w:hAnsi="Arial"/>
          <w:color w:val="000000" w:themeColor="text1"/>
          <w:sz w:val="22"/>
        </w:rPr>
        <w:t>2</w:t>
      </w:r>
      <w:r w:rsidRPr="00864DEC">
        <w:rPr>
          <w:rFonts w:ascii="Arial" w:hAnsi="Arial"/>
          <w:color w:val="000000" w:themeColor="text1"/>
          <w:sz w:val="22"/>
        </w:rPr>
        <w:t>° trimestre de 201</w:t>
      </w:r>
      <w:r w:rsidR="007F2D03" w:rsidRPr="00864DEC">
        <w:rPr>
          <w:rFonts w:ascii="Arial" w:hAnsi="Arial"/>
          <w:color w:val="000000" w:themeColor="text1"/>
          <w:sz w:val="22"/>
        </w:rPr>
        <w:t>5</w:t>
      </w:r>
      <w:r w:rsidRPr="0065207A">
        <w:rPr>
          <w:rFonts w:ascii="Arial" w:hAnsi="Arial"/>
          <w:sz w:val="22"/>
        </w:rPr>
        <w:t>.</w:t>
      </w:r>
      <w:r w:rsidRPr="00C531FD">
        <w:rPr>
          <w:rFonts w:ascii="Arial" w:hAnsi="Arial"/>
          <w:sz w:val="22"/>
        </w:rPr>
        <w:t xml:space="preserve"> </w:t>
      </w:r>
    </w:p>
    <w:p w:rsidR="00DC0507" w:rsidRDefault="00DC0507" w:rsidP="004B1A45">
      <w:pPr>
        <w:pStyle w:val="Subttulo"/>
        <w:jc w:val="left"/>
        <w:rPr>
          <w:rFonts w:ascii="Arial" w:hAnsi="Arial"/>
          <w:b/>
        </w:rPr>
      </w:pPr>
    </w:p>
    <w:p w:rsidR="005C41CA" w:rsidRDefault="00DC0507" w:rsidP="004B1A45">
      <w:pPr>
        <w:pStyle w:val="Subttulo"/>
        <w:ind w:left="-142"/>
        <w:jc w:val="center"/>
        <w:rPr>
          <w:rFonts w:ascii="Arial" w:hAnsi="Arial"/>
          <w:b/>
          <w:color w:val="1F497D" w:themeColor="text2"/>
        </w:rPr>
      </w:pPr>
      <w:r w:rsidRPr="00AF51ED">
        <w:rPr>
          <w:rFonts w:ascii="Arial" w:hAnsi="Arial"/>
          <w:b/>
          <w:color w:val="1F497D" w:themeColor="text2"/>
        </w:rPr>
        <w:t>GRÁFICO 0</w:t>
      </w:r>
      <w:r w:rsidR="00E76299" w:rsidRPr="00AF51ED">
        <w:rPr>
          <w:rFonts w:ascii="Arial" w:hAnsi="Arial"/>
          <w:b/>
          <w:color w:val="1F497D" w:themeColor="text2"/>
        </w:rPr>
        <w:t>2</w:t>
      </w:r>
      <w:r w:rsidRPr="00AF51ED">
        <w:rPr>
          <w:rFonts w:ascii="Arial" w:hAnsi="Arial"/>
          <w:b/>
          <w:color w:val="1F497D" w:themeColor="text2"/>
        </w:rPr>
        <w:t xml:space="preserve">  </w:t>
      </w:r>
      <w:r w:rsidR="005C41CA" w:rsidRPr="005C41CA">
        <w:rPr>
          <w:noProof/>
        </w:rPr>
        <w:drawing>
          <wp:inline distT="0" distB="0" distL="0" distR="0">
            <wp:extent cx="5199931" cy="2675617"/>
            <wp:effectExtent l="19050" t="0" r="719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423" cy="267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07" w:rsidRDefault="00864DEC" w:rsidP="00DC0507">
      <w:pPr>
        <w:pStyle w:val="Subttulo"/>
        <w:ind w:hanging="142"/>
        <w:jc w:val="left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   </w:t>
      </w:r>
      <w:r w:rsidR="0065207A">
        <w:rPr>
          <w:rFonts w:ascii="Arial" w:hAnsi="Arial"/>
          <w:sz w:val="13"/>
        </w:rPr>
        <w:t xml:space="preserve">   </w:t>
      </w:r>
      <w:r>
        <w:rPr>
          <w:rFonts w:ascii="Arial" w:hAnsi="Arial"/>
          <w:sz w:val="13"/>
        </w:rPr>
        <w:t xml:space="preserve">   </w:t>
      </w:r>
      <w:r w:rsidR="0065207A">
        <w:rPr>
          <w:rFonts w:ascii="Arial" w:hAnsi="Arial"/>
          <w:sz w:val="13"/>
        </w:rPr>
        <w:t xml:space="preserve"> </w:t>
      </w:r>
      <w:r>
        <w:rPr>
          <w:rFonts w:ascii="Arial" w:hAnsi="Arial"/>
          <w:sz w:val="13"/>
        </w:rPr>
        <w:t xml:space="preserve">    </w:t>
      </w:r>
      <w:r w:rsidR="00DC0507">
        <w:rPr>
          <w:rFonts w:ascii="Arial" w:hAnsi="Arial"/>
          <w:sz w:val="13"/>
        </w:rPr>
        <w:t>Fonte: Diretorias</w:t>
      </w:r>
    </w:p>
    <w:p w:rsidR="00DC0507" w:rsidRDefault="00DC0507" w:rsidP="00DC0507">
      <w:pPr>
        <w:pStyle w:val="Rodap"/>
        <w:tabs>
          <w:tab w:val="clear" w:pos="4419"/>
          <w:tab w:val="clear" w:pos="8838"/>
        </w:tabs>
        <w:ind w:left="426" w:hanging="426"/>
        <w:jc w:val="both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 </w:t>
      </w:r>
    </w:p>
    <w:p w:rsidR="005D5823" w:rsidRDefault="005D5823" w:rsidP="00DC0507">
      <w:pPr>
        <w:pStyle w:val="Subttulo"/>
        <w:jc w:val="both"/>
        <w:rPr>
          <w:rFonts w:ascii="Arial" w:hAnsi="Arial"/>
          <w:sz w:val="22"/>
        </w:rPr>
      </w:pPr>
    </w:p>
    <w:p w:rsidR="00BD1E6E" w:rsidRDefault="00BD1E6E" w:rsidP="00DC0507">
      <w:pPr>
        <w:pStyle w:val="Subttulo"/>
        <w:jc w:val="both"/>
        <w:rPr>
          <w:rFonts w:ascii="Arial" w:hAnsi="Arial"/>
          <w:sz w:val="22"/>
        </w:rPr>
      </w:pPr>
    </w:p>
    <w:p w:rsidR="005D5823" w:rsidRPr="00AF51ED" w:rsidRDefault="00174D83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AF51ED">
        <w:rPr>
          <w:rFonts w:ascii="Arial" w:hAnsi="Arial"/>
          <w:b/>
          <w:color w:val="1F497D" w:themeColor="text2"/>
          <w:sz w:val="22"/>
        </w:rPr>
        <w:t>2.6. Apreciação de Den</w:t>
      </w:r>
      <w:r w:rsidR="001434C1" w:rsidRPr="00AF51ED">
        <w:rPr>
          <w:rFonts w:ascii="Arial" w:hAnsi="Arial"/>
          <w:b/>
          <w:color w:val="1F497D" w:themeColor="text2"/>
          <w:sz w:val="22"/>
        </w:rPr>
        <w:t>ú</w:t>
      </w:r>
      <w:r w:rsidRPr="00AF51ED">
        <w:rPr>
          <w:rFonts w:ascii="Arial" w:hAnsi="Arial"/>
          <w:b/>
          <w:color w:val="1F497D" w:themeColor="text2"/>
          <w:sz w:val="22"/>
        </w:rPr>
        <w:t>ncias, Consultas, Recursos e Representações</w:t>
      </w:r>
    </w:p>
    <w:p w:rsidR="00174D83" w:rsidRDefault="00174D83" w:rsidP="004B1A45">
      <w:pPr>
        <w:pStyle w:val="Subttulo"/>
        <w:jc w:val="both"/>
        <w:rPr>
          <w:rFonts w:ascii="Arial" w:hAnsi="Arial"/>
          <w:sz w:val="22"/>
        </w:rPr>
      </w:pPr>
    </w:p>
    <w:p w:rsidR="00174D83" w:rsidRDefault="00AC30BF" w:rsidP="00174D83">
      <w:pPr>
        <w:pStyle w:val="Corpodetexto"/>
        <w:ind w:firstLine="851"/>
        <w:rPr>
          <w:rFonts w:ascii="Arial" w:hAnsi="Arial"/>
          <w:sz w:val="22"/>
        </w:rPr>
      </w:pPr>
      <w:r w:rsidRPr="00AC30BF">
        <w:rPr>
          <w:rFonts w:ascii="Arial" w:hAnsi="Arial"/>
          <w:noProof/>
        </w:rPr>
        <w:pict>
          <v:shape id="_x0000_s1038" type="#_x0000_t202" style="position:absolute;left:0;text-align:left;margin-left:.35pt;margin-top:3.7pt;width:166.5pt;height:141.35pt;z-index:251669504;mso-wrap-edited:f" o:allowincell="f" fillcolor="#1f497d [3215]" stroked="f">
            <v:textbox style="mso-next-textbox:#_x0000_s1038" inset="3mm,1.3mm,3mm,1.3mm">
              <w:txbxContent>
                <w:p w:rsidR="006745AA" w:rsidRPr="00DF5813" w:rsidRDefault="006745AA" w:rsidP="00174D83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Processos Julgados</w:t>
                  </w:r>
                </w:p>
                <w:p w:rsidR="006745AA" w:rsidRPr="00DF5813" w:rsidRDefault="006745AA" w:rsidP="00174D83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2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° Trimestre de</w:t>
                  </w:r>
                  <w:r w:rsidRPr="00DF5813">
                    <w:rPr>
                      <w:color w:val="FFFFFF" w:themeColor="background1"/>
                      <w:sz w:val="18"/>
                      <w:szCs w:val="18"/>
                    </w:rPr>
                    <w:t xml:space="preserve">  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 201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5</w:t>
                  </w:r>
                </w:p>
                <w:p w:rsidR="006745AA" w:rsidRPr="00DF5813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</w:p>
                <w:p w:rsidR="006745AA" w:rsidRPr="00DF5813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15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Embargos de Declaração</w:t>
                  </w:r>
                </w:p>
                <w:p w:rsidR="006745AA" w:rsidRPr="00DF5813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34</w:t>
                  </w:r>
                  <w:r w:rsidRPr="0010558F">
                    <w:rPr>
                      <w:rFonts w:ascii="Arial" w:hAnsi="Arial"/>
                      <w:b/>
                      <w:color w:val="C00000"/>
                      <w:sz w:val="18"/>
                      <w:szCs w:val="18"/>
                    </w:rPr>
                    <w:t xml:space="preserve">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Reconsiderações</w:t>
                  </w:r>
                </w:p>
                <w:p w:rsidR="006745AA" w:rsidRPr="00DF5813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31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Reexames</w:t>
                  </w:r>
                </w:p>
                <w:p w:rsidR="006745AA" w:rsidRPr="00DF5813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7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Denúncias                           </w:t>
                  </w:r>
                </w:p>
                <w:p w:rsidR="006745AA" w:rsidRPr="00DF5813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54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Representações                 </w:t>
                  </w:r>
                </w:p>
                <w:p w:rsidR="006745AA" w:rsidRPr="00DF5813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30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Consultas  </w:t>
                  </w:r>
                </w:p>
                <w:p w:rsidR="006745AA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4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Revisões</w:t>
                  </w:r>
                </w:p>
                <w:p w:rsidR="006745AA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 2 Agravo</w:t>
                  </w:r>
                </w:p>
                <w:p w:rsidR="006745AA" w:rsidRPr="00DF5813" w:rsidRDefault="006745AA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 3 Reapreciações</w:t>
                  </w:r>
                </w:p>
                <w:p w:rsidR="006745AA" w:rsidRPr="00DF5813" w:rsidRDefault="006745AA" w:rsidP="00174D83">
                  <w:pPr>
                    <w:rPr>
                      <w:color w:val="FFFFFF" w:themeColor="background1"/>
                      <w:sz w:val="12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</w:rPr>
                    <w:t xml:space="preserve">   </w:t>
                  </w:r>
                  <w:r w:rsidRPr="00DF5813">
                    <w:rPr>
                      <w:rFonts w:ascii="Arial" w:hAnsi="Arial"/>
                      <w:color w:val="FFFFFF" w:themeColor="background1"/>
                      <w:sz w:val="12"/>
                    </w:rPr>
                    <w:t>Fonte: Secretaria Geral - SEG</w:t>
                  </w:r>
                </w:p>
                <w:p w:rsidR="006745AA" w:rsidRDefault="006745AA" w:rsidP="00174D83">
                  <w:pPr>
                    <w:rPr>
                      <w:rFonts w:ascii="Arial" w:hAnsi="Arial"/>
                      <w:b/>
                      <w:color w:val="800000"/>
                    </w:rPr>
                  </w:pPr>
                </w:p>
                <w:p w:rsidR="006745AA" w:rsidRDefault="006745AA" w:rsidP="00174D83">
                  <w:pPr>
                    <w:rPr>
                      <w:rFonts w:ascii="Arial" w:hAnsi="Arial"/>
                      <w:color w:val="800000"/>
                    </w:rPr>
                  </w:pPr>
                </w:p>
              </w:txbxContent>
            </v:textbox>
            <w10:wrap type="square"/>
          </v:shape>
        </w:pict>
      </w:r>
      <w:r w:rsidR="00174D83">
        <w:rPr>
          <w:rFonts w:ascii="Arial" w:hAnsi="Arial"/>
          <w:sz w:val="22"/>
        </w:rPr>
        <w:t xml:space="preserve">A Constituição Estadual em seu art. 62, </w:t>
      </w:r>
      <w:r w:rsidR="00174D83">
        <w:rPr>
          <w:rFonts w:ascii="Arial" w:hAnsi="Arial" w:cs="Arial"/>
          <w:sz w:val="22"/>
        </w:rPr>
        <w:t xml:space="preserve">§ </w:t>
      </w:r>
      <w:r w:rsidR="00174D83">
        <w:rPr>
          <w:rFonts w:ascii="Arial" w:hAnsi="Arial"/>
          <w:sz w:val="22"/>
        </w:rPr>
        <w:t>2</w:t>
      </w:r>
      <w:r w:rsidR="00174D83">
        <w:rPr>
          <w:rFonts w:ascii="Arial" w:hAnsi="Arial" w:cs="Arial"/>
          <w:sz w:val="22"/>
        </w:rPr>
        <w:t>°</w:t>
      </w:r>
      <w:r w:rsidR="00174D83">
        <w:rPr>
          <w:rFonts w:ascii="Arial" w:hAnsi="Arial"/>
          <w:sz w:val="22"/>
        </w:rPr>
        <w:t xml:space="preserve">  assegura a qualquer cidadão, partido político, associação ou sindicato apresentar denúncia ao Tribunal de Contas do Estado sobre irregularidades ou ilegalidades na aplicação de recursos públicos. </w:t>
      </w:r>
    </w:p>
    <w:p w:rsidR="00174D83" w:rsidRDefault="00174D83" w:rsidP="00174D83">
      <w:pPr>
        <w:pStyle w:val="Corpodetexto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 </w:t>
      </w:r>
      <w:r w:rsidRPr="00F72FC1">
        <w:rPr>
          <w:rFonts w:ascii="Arial" w:hAnsi="Arial"/>
          <w:sz w:val="22"/>
        </w:rPr>
        <w:t xml:space="preserve">Denúncias </w:t>
      </w:r>
      <w:r>
        <w:rPr>
          <w:rFonts w:ascii="Arial" w:hAnsi="Arial"/>
          <w:sz w:val="22"/>
        </w:rPr>
        <w:t xml:space="preserve">e as </w:t>
      </w:r>
      <w:r w:rsidRPr="00F72FC1">
        <w:rPr>
          <w:rFonts w:ascii="Arial" w:hAnsi="Arial"/>
          <w:sz w:val="22"/>
        </w:rPr>
        <w:t>Representações</w:t>
      </w:r>
      <w:r>
        <w:rPr>
          <w:rFonts w:ascii="Arial" w:hAnsi="Arial"/>
          <w:sz w:val="22"/>
        </w:rPr>
        <w:t xml:space="preserve"> são instrumentos importantes no combate ao desperdício e a má aplicação de recursos públicos. </w:t>
      </w:r>
    </w:p>
    <w:p w:rsidR="00174D83" w:rsidRDefault="00174D83" w:rsidP="00174D83">
      <w:pPr>
        <w:pStyle w:val="Corpodetexto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Outra competência constitucional do TCE/SC é responder a </w:t>
      </w:r>
      <w:r w:rsidRPr="00F72FC1">
        <w:rPr>
          <w:rFonts w:ascii="Arial" w:hAnsi="Arial"/>
          <w:sz w:val="22"/>
        </w:rPr>
        <w:t>Consultas</w:t>
      </w:r>
      <w:r>
        <w:rPr>
          <w:rFonts w:ascii="Arial" w:hAnsi="Arial"/>
          <w:sz w:val="22"/>
        </w:rPr>
        <w:t xml:space="preserve"> sobre interpretação de lei ou questão formulada em tese por administradores públicos estaduais e municipais. As consultas encaminhadas ao Tribunal, com dúvidas suscitadas na aplicação de dispositivos legais e regulamentares, devem ser relativas à matéria sujeita à sua fiscalização.</w:t>
      </w:r>
    </w:p>
    <w:p w:rsidR="00174D83" w:rsidRDefault="00174D83" w:rsidP="00174D83">
      <w:pPr>
        <w:pStyle w:val="Recuodecorpodetexto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Os processos de </w:t>
      </w:r>
      <w:r w:rsidRPr="00F72FC1">
        <w:rPr>
          <w:rFonts w:ascii="Arial" w:hAnsi="Arial"/>
          <w:sz w:val="22"/>
        </w:rPr>
        <w:t>Recursos</w:t>
      </w:r>
      <w:r>
        <w:rPr>
          <w:rFonts w:ascii="Arial" w:hAnsi="Arial"/>
          <w:sz w:val="22"/>
        </w:rPr>
        <w:t xml:space="preserve"> também estão motivados na Constituição Estadual, art.16, </w:t>
      </w:r>
      <w:r>
        <w:rPr>
          <w:rFonts w:ascii="Arial" w:hAnsi="Arial" w:cs="Arial"/>
          <w:sz w:val="22"/>
        </w:rPr>
        <w:t>§</w:t>
      </w:r>
      <w:r>
        <w:rPr>
          <w:rFonts w:ascii="Arial" w:hAnsi="Arial"/>
          <w:sz w:val="22"/>
        </w:rPr>
        <w:t>5</w:t>
      </w:r>
      <w:r>
        <w:rPr>
          <w:rFonts w:ascii="Arial" w:hAnsi="Arial" w:cs="Arial"/>
          <w:sz w:val="22"/>
        </w:rPr>
        <w:t>°,</w:t>
      </w:r>
      <w:r>
        <w:rPr>
          <w:rFonts w:ascii="Arial" w:hAnsi="Arial"/>
          <w:sz w:val="22"/>
        </w:rPr>
        <w:t xml:space="preserve"> e refletem o direito à ampla defesa do jurisdicionado.</w:t>
      </w:r>
    </w:p>
    <w:p w:rsidR="00127F24" w:rsidRDefault="00127F24" w:rsidP="00174D83">
      <w:pPr>
        <w:pStyle w:val="Recuodecorpodetexto2"/>
        <w:rPr>
          <w:rFonts w:ascii="Arial" w:hAnsi="Arial"/>
          <w:sz w:val="22"/>
        </w:rPr>
      </w:pPr>
    </w:p>
    <w:p w:rsidR="00C92FC6" w:rsidRDefault="00C92FC6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</w:p>
    <w:p w:rsidR="00174D83" w:rsidRPr="00AF51ED" w:rsidRDefault="00174D83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AF51ED">
        <w:rPr>
          <w:rFonts w:ascii="Arial" w:hAnsi="Arial"/>
          <w:b/>
          <w:color w:val="1F497D" w:themeColor="text2"/>
          <w:sz w:val="22"/>
        </w:rPr>
        <w:t>2.7. Fiscalizações a cargo do Tribunal de Contas</w:t>
      </w:r>
    </w:p>
    <w:p w:rsidR="00174D83" w:rsidRDefault="00174D83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DC0507" w:rsidRPr="00A23F04" w:rsidRDefault="005D662E" w:rsidP="00DC0507">
      <w:pPr>
        <w:pStyle w:val="Subttulo"/>
        <w:jc w:val="both"/>
        <w:rPr>
          <w:rFonts w:ascii="Arial" w:hAnsi="Arial"/>
          <w:color w:val="1F497D" w:themeColor="text2"/>
          <w:sz w:val="22"/>
        </w:rPr>
      </w:pPr>
      <w:r w:rsidRPr="00AF51ED">
        <w:rPr>
          <w:rFonts w:ascii="Arial" w:hAnsi="Arial"/>
          <w:color w:val="1F497D" w:themeColor="text2"/>
          <w:sz w:val="22"/>
        </w:rPr>
        <w:t xml:space="preserve">2.7.1. </w:t>
      </w:r>
      <w:r w:rsidR="001E1409">
        <w:rPr>
          <w:rFonts w:ascii="Arial" w:hAnsi="Arial"/>
          <w:color w:val="1F497D" w:themeColor="text2"/>
          <w:sz w:val="22"/>
        </w:rPr>
        <w:t>Auditorias e Inspeções</w:t>
      </w:r>
    </w:p>
    <w:p w:rsidR="00DC0507" w:rsidRDefault="008474D5" w:rsidP="00DC0507">
      <w:pPr>
        <w:pStyle w:val="Subttulo"/>
        <w:ind w:firstLine="1134"/>
        <w:jc w:val="both"/>
        <w:rPr>
          <w:rFonts w:ascii="Arial" w:hAnsi="Arial"/>
          <w:sz w:val="22"/>
        </w:rPr>
      </w:pPr>
      <w:r w:rsidRPr="004B1A45">
        <w:rPr>
          <w:rFonts w:ascii="Arial" w:hAnsi="Arial"/>
          <w:sz w:val="22"/>
        </w:rPr>
        <w:t xml:space="preserve">No </w:t>
      </w:r>
      <w:r w:rsidR="003C3296">
        <w:rPr>
          <w:rFonts w:ascii="Arial" w:hAnsi="Arial"/>
          <w:sz w:val="22"/>
        </w:rPr>
        <w:t>segundo</w:t>
      </w:r>
      <w:r w:rsidR="006B353B">
        <w:rPr>
          <w:rFonts w:ascii="Arial" w:hAnsi="Arial"/>
          <w:sz w:val="22"/>
        </w:rPr>
        <w:t xml:space="preserve"> trimestre de 201</w:t>
      </w:r>
      <w:r w:rsidR="007F2D03">
        <w:rPr>
          <w:rFonts w:ascii="Arial" w:hAnsi="Arial"/>
          <w:sz w:val="22"/>
        </w:rPr>
        <w:t>5</w:t>
      </w:r>
      <w:r w:rsidR="00DC0507" w:rsidRPr="004B1A45">
        <w:rPr>
          <w:rFonts w:ascii="Arial" w:hAnsi="Arial"/>
          <w:sz w:val="22"/>
        </w:rPr>
        <w:t xml:space="preserve">, as diretorias técnicas do Tribunal de Contas </w:t>
      </w:r>
      <w:r w:rsidR="00DC0507" w:rsidRPr="00784B01">
        <w:rPr>
          <w:rFonts w:ascii="Arial" w:hAnsi="Arial"/>
          <w:sz w:val="22"/>
        </w:rPr>
        <w:t xml:space="preserve">realizaram </w:t>
      </w:r>
      <w:r w:rsidR="00784B01" w:rsidRPr="00784B01">
        <w:rPr>
          <w:rFonts w:ascii="Arial" w:hAnsi="Arial"/>
          <w:sz w:val="22"/>
        </w:rPr>
        <w:t>47</w:t>
      </w:r>
      <w:r w:rsidR="00DC0507" w:rsidRPr="00784B01">
        <w:rPr>
          <w:rFonts w:ascii="Arial" w:hAnsi="Arial"/>
          <w:sz w:val="22"/>
        </w:rPr>
        <w:t xml:space="preserve"> (</w:t>
      </w:r>
      <w:r w:rsidR="00784B01" w:rsidRPr="00784B01">
        <w:rPr>
          <w:rFonts w:ascii="Arial" w:hAnsi="Arial"/>
          <w:sz w:val="22"/>
        </w:rPr>
        <w:t>quarenta e sete</w:t>
      </w:r>
      <w:r w:rsidR="00DC0507" w:rsidRPr="00784B01">
        <w:rPr>
          <w:rFonts w:ascii="Arial" w:hAnsi="Arial"/>
          <w:sz w:val="22"/>
        </w:rPr>
        <w:t xml:space="preserve">) </w:t>
      </w:r>
      <w:r w:rsidR="00377F3A" w:rsidRPr="00784B01">
        <w:rPr>
          <w:rFonts w:ascii="Arial" w:hAnsi="Arial"/>
          <w:sz w:val="22"/>
        </w:rPr>
        <w:t>fiscalizações</w:t>
      </w:r>
      <w:r w:rsidR="00DC0507">
        <w:rPr>
          <w:rFonts w:ascii="Arial" w:hAnsi="Arial"/>
          <w:sz w:val="22"/>
        </w:rPr>
        <w:t xml:space="preserve"> </w:t>
      </w:r>
      <w:r w:rsidR="00DC0507" w:rsidRPr="0018534C">
        <w:rPr>
          <w:rFonts w:ascii="Arial" w:hAnsi="Arial"/>
          <w:i/>
          <w:sz w:val="22"/>
        </w:rPr>
        <w:t>in loco</w:t>
      </w:r>
      <w:r w:rsidR="00DC0507">
        <w:rPr>
          <w:rFonts w:ascii="Arial" w:hAnsi="Arial"/>
          <w:sz w:val="22"/>
        </w:rPr>
        <w:t xml:space="preserve"> em órgãos da administração estadual e municipal.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As fiscalizações realizadas pelos </w:t>
      </w:r>
      <w:r w:rsidR="00FC5B35">
        <w:rPr>
          <w:rFonts w:ascii="Arial" w:hAnsi="Arial"/>
          <w:sz w:val="22"/>
        </w:rPr>
        <w:t xml:space="preserve">auditores fiscais de controle externo </w:t>
      </w:r>
      <w:r>
        <w:rPr>
          <w:rFonts w:ascii="Arial" w:hAnsi="Arial"/>
          <w:sz w:val="22"/>
        </w:rPr>
        <w:t xml:space="preserve">do Tribunal </w:t>
      </w:r>
      <w:r w:rsidR="00FC5B35">
        <w:rPr>
          <w:rFonts w:ascii="Arial" w:hAnsi="Arial"/>
          <w:sz w:val="22"/>
        </w:rPr>
        <w:t>fazem parte da programação de fiscalização aprovada em reunião administrativa.</w:t>
      </w:r>
      <w:r>
        <w:rPr>
          <w:rFonts w:ascii="Arial" w:hAnsi="Arial"/>
          <w:sz w:val="22"/>
        </w:rPr>
        <w:t xml:space="preserve">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Tabela 0</w:t>
      </w:r>
      <w:r w:rsidR="006F7F06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 apresenta o número de fiscalizações realizadas pelas Diretorias Técnicas do Tribunal, </w:t>
      </w:r>
      <w:r w:rsidR="008474D5">
        <w:rPr>
          <w:rFonts w:ascii="Arial" w:hAnsi="Arial"/>
          <w:sz w:val="22"/>
        </w:rPr>
        <w:t xml:space="preserve">no </w:t>
      </w:r>
      <w:r w:rsidR="003C3296">
        <w:rPr>
          <w:rFonts w:ascii="Arial" w:hAnsi="Arial"/>
          <w:sz w:val="22"/>
        </w:rPr>
        <w:t>segundo</w:t>
      </w:r>
      <w:r w:rsidR="006B353B">
        <w:rPr>
          <w:rFonts w:ascii="Arial" w:hAnsi="Arial"/>
          <w:sz w:val="22"/>
        </w:rPr>
        <w:t xml:space="preserve"> trimestre de 201</w:t>
      </w:r>
      <w:r w:rsidR="007F2D03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Pr="00AF51ED" w:rsidRDefault="00DC0507" w:rsidP="00DC0507">
      <w:pPr>
        <w:pStyle w:val="Ttulo1"/>
        <w:ind w:left="1418" w:hanging="1418"/>
        <w:jc w:val="both"/>
        <w:rPr>
          <w:rFonts w:ascii="Arial" w:hAnsi="Arial"/>
          <w:color w:val="1F497D" w:themeColor="text2"/>
          <w:sz w:val="22"/>
        </w:rPr>
      </w:pPr>
      <w:r w:rsidRPr="00AF51ED">
        <w:rPr>
          <w:rFonts w:ascii="Arial" w:hAnsi="Arial"/>
          <w:color w:val="1F497D" w:themeColor="text2"/>
          <w:sz w:val="22"/>
        </w:rPr>
        <w:t>TABELA 0</w:t>
      </w:r>
      <w:r w:rsidR="006F7F06" w:rsidRPr="00AF51ED">
        <w:rPr>
          <w:rFonts w:ascii="Arial" w:hAnsi="Arial"/>
          <w:color w:val="1F497D" w:themeColor="text2"/>
          <w:sz w:val="22"/>
        </w:rPr>
        <w:t>9</w:t>
      </w:r>
      <w:r w:rsidRPr="00AF51ED">
        <w:rPr>
          <w:rFonts w:ascii="Arial" w:hAnsi="Arial"/>
          <w:color w:val="1F497D" w:themeColor="text2"/>
          <w:sz w:val="22"/>
        </w:rPr>
        <w:t xml:space="preserve"> - AUDITORIAS </w:t>
      </w:r>
      <w:r w:rsidR="001E1409">
        <w:rPr>
          <w:rFonts w:ascii="Arial" w:hAnsi="Arial"/>
          <w:color w:val="1F497D" w:themeColor="text2"/>
          <w:sz w:val="22"/>
        </w:rPr>
        <w:t xml:space="preserve">E INSPEÇÕES </w:t>
      </w:r>
      <w:r w:rsidRPr="00AF51ED">
        <w:rPr>
          <w:rFonts w:ascii="Arial" w:hAnsi="Arial"/>
          <w:color w:val="1F497D" w:themeColor="text2"/>
          <w:sz w:val="22"/>
        </w:rPr>
        <w:t xml:space="preserve">REALIZADAS </w:t>
      </w:r>
    </w:p>
    <w:tbl>
      <w:tblPr>
        <w:tblW w:w="0" w:type="auto"/>
        <w:tblBorders>
          <w:top w:val="single" w:sz="12" w:space="0" w:color="943634"/>
          <w:bottom w:val="single" w:sz="12" w:space="0" w:color="943634"/>
        </w:tblBorders>
        <w:tblLayout w:type="fixed"/>
        <w:tblLook w:val="04A0"/>
      </w:tblPr>
      <w:tblGrid>
        <w:gridCol w:w="4786"/>
        <w:gridCol w:w="2126"/>
        <w:gridCol w:w="2268"/>
      </w:tblGrid>
      <w:tr w:rsidR="004E33D2" w:rsidRPr="0066341E" w:rsidTr="00357F7A">
        <w:tc>
          <w:tcPr>
            <w:tcW w:w="4786" w:type="dxa"/>
            <w:tcBorders>
              <w:top w:val="nil"/>
              <w:bottom w:val="nil"/>
              <w:right w:val="nil"/>
            </w:tcBorders>
            <w:shd w:val="clear" w:color="auto" w:fill="1F497D" w:themeFill="text2"/>
          </w:tcPr>
          <w:p w:rsidR="004E33D2" w:rsidRPr="00A23F04" w:rsidRDefault="004E33D2" w:rsidP="004E33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  <w:shd w:val="clear" w:color="auto" w:fill="1F497D" w:themeFill="text2"/>
          </w:tcPr>
          <w:p w:rsidR="00357F7A" w:rsidRDefault="00357F7A" w:rsidP="00357F7A">
            <w:pPr>
              <w:pStyle w:val="Subttulo"/>
              <w:ind w:right="312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4E33D2" w:rsidRDefault="004E33D2" w:rsidP="00357F7A">
            <w:pPr>
              <w:pStyle w:val="Subttulo"/>
              <w:ind w:right="312"/>
              <w:jc w:val="center"/>
              <w:rPr>
                <w:rFonts w:ascii="Arial" w:hAnsi="Arial"/>
                <w:sz w:val="18"/>
                <w:szCs w:val="18"/>
              </w:rPr>
            </w:pPr>
            <w:r w:rsidRPr="004E33D2">
              <w:rPr>
                <w:rFonts w:ascii="Arial" w:hAnsi="Arial" w:cs="Arial"/>
                <w:b/>
                <w:color w:val="FFFFFF" w:themeColor="background1"/>
                <w:sz w:val="20"/>
              </w:rPr>
              <w:t>Auditorias</w:t>
            </w:r>
            <w:r w:rsidR="001E140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e Inspeções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  <w:right w:val="nil"/>
            </w:tcBorders>
            <w:shd w:val="clear" w:color="auto" w:fill="1F497D" w:themeFill="text2"/>
          </w:tcPr>
          <w:p w:rsidR="004E33D2" w:rsidRDefault="004E33D2" w:rsidP="004E33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3F04">
              <w:rPr>
                <w:rFonts w:ascii="Arial" w:hAnsi="Arial" w:cs="Arial"/>
                <w:b/>
                <w:color w:val="FFFFFF" w:themeColor="background1"/>
              </w:rPr>
              <w:t>Diretoria</w:t>
            </w:r>
          </w:p>
          <w:p w:rsidR="004E33D2" w:rsidRPr="0066341E" w:rsidRDefault="004E33D2" w:rsidP="004E33D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357F7A" w:rsidRDefault="00357F7A" w:rsidP="005D662E">
            <w:pPr>
              <w:tabs>
                <w:tab w:val="left" w:pos="459"/>
              </w:tabs>
              <w:ind w:left="-250" w:right="317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  <w:p w:rsidR="004E33D2" w:rsidRDefault="003C3296" w:rsidP="005D662E">
            <w:pPr>
              <w:tabs>
                <w:tab w:val="left" w:pos="459"/>
              </w:tabs>
              <w:ind w:left="-250" w:right="317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4E33D2" w:rsidRPr="00A23F04">
              <w:rPr>
                <w:rFonts w:ascii="Arial" w:hAnsi="Arial" w:cs="Arial"/>
                <w:b/>
                <w:color w:val="FFFFFF" w:themeColor="background1"/>
              </w:rPr>
              <w:t>° trimestre 201</w:t>
            </w:r>
            <w:r w:rsidR="004E33D2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1F497D" w:themeFill="text2"/>
            <w:vAlign w:val="bottom"/>
          </w:tcPr>
          <w:p w:rsidR="004E33D2" w:rsidRDefault="003C3296" w:rsidP="000A1483">
            <w:pPr>
              <w:pStyle w:val="Subttulo"/>
              <w:ind w:right="3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2</w:t>
            </w:r>
            <w:r w:rsidR="004E33D2" w:rsidRPr="00A23F04">
              <w:rPr>
                <w:rFonts w:ascii="Arial" w:hAnsi="Arial" w:cs="Arial"/>
                <w:b/>
                <w:color w:val="FFFFFF" w:themeColor="background1"/>
                <w:sz w:val="20"/>
              </w:rPr>
              <w:t>° trimestre 201</w:t>
            </w:r>
            <w:r w:rsidR="004E33D2">
              <w:rPr>
                <w:rFonts w:ascii="Arial" w:hAnsi="Arial" w:cs="Arial"/>
                <w:b/>
                <w:color w:val="FFFFFF" w:themeColor="background1"/>
                <w:sz w:val="20"/>
              </w:rPr>
              <w:t>5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de Atividades Especiais - DAE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66341E" w:rsidRDefault="001531E4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  <w:vAlign w:val="bottom"/>
          </w:tcPr>
          <w:p w:rsidR="004E33D2" w:rsidRPr="000A1483" w:rsidRDefault="003C7D7A" w:rsidP="00357F7A">
            <w:pPr>
              <w:pStyle w:val="Subttulo"/>
              <w:ind w:right="10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 de Controle da Administração Estadual - DCE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EA4A90" w:rsidRDefault="001531E4" w:rsidP="00357F7A">
            <w:pPr>
              <w:pStyle w:val="Subttulo"/>
              <w:ind w:right="8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Pr="00EA4A90" w:rsidRDefault="003C7D7A" w:rsidP="00357F7A">
            <w:pPr>
              <w:pStyle w:val="Subttulo"/>
              <w:ind w:right="10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de Licitação e Contratações - DLC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66341E" w:rsidRDefault="001531E4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Pr="0066341E" w:rsidRDefault="003C7D7A" w:rsidP="00357F7A">
            <w:pPr>
              <w:tabs>
                <w:tab w:val="left" w:pos="459"/>
              </w:tabs>
              <w:ind w:left="-250" w:right="1026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10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de Controle de Atos de Pessoal - DAP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EA4A90" w:rsidRDefault="001531E4" w:rsidP="00357F7A">
            <w:pPr>
              <w:pStyle w:val="Subttulo"/>
              <w:ind w:right="8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Pr="00EA4A90" w:rsidRDefault="003C7D7A" w:rsidP="00357F7A">
            <w:pPr>
              <w:pStyle w:val="Subttulo"/>
              <w:ind w:right="10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de Controle dos Municípios - DMU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66341E" w:rsidRDefault="001531E4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Pr="0066341E" w:rsidRDefault="003C7D7A" w:rsidP="00357F7A">
            <w:pPr>
              <w:tabs>
                <w:tab w:val="left" w:pos="459"/>
              </w:tabs>
              <w:ind w:left="-250" w:right="1026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7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94C9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Diretoria de Controle de Contas do Governo - DCG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66341E" w:rsidRDefault="001531E4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Default="003C7D7A" w:rsidP="00357F7A">
            <w:pPr>
              <w:tabs>
                <w:tab w:val="left" w:pos="459"/>
              </w:tabs>
              <w:ind w:left="-250" w:right="1026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-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single" w:sz="12" w:space="0" w:color="1F497D" w:themeColor="text2"/>
            </w:tcBorders>
            <w:shd w:val="solid" w:color="1F497D" w:themeColor="text2" w:fill="FFFFFF" w:themeFill="background1"/>
          </w:tcPr>
          <w:p w:rsidR="004E33D2" w:rsidRPr="00A23F04" w:rsidRDefault="004E33D2" w:rsidP="0066341E">
            <w:pPr>
              <w:jc w:val="center"/>
              <w:rPr>
                <w:rFonts w:ascii="Arial" w:hAnsi="Arial"/>
                <w:color w:val="FFFFFF" w:themeColor="background1"/>
                <w:sz w:val="18"/>
                <w:szCs w:val="18"/>
              </w:rPr>
            </w:pPr>
            <w:r w:rsidRPr="00A23F04">
              <w:rPr>
                <w:rFonts w:ascii="Arial" w:hAnsi="Arial" w:cs="Arial"/>
                <w:b/>
                <w:color w:val="FFFFFF" w:themeColor="background1"/>
              </w:rPr>
              <w:t>T o t a l</w:t>
            </w:r>
          </w:p>
        </w:tc>
        <w:tc>
          <w:tcPr>
            <w:tcW w:w="2126" w:type="dxa"/>
            <w:tcBorders>
              <w:top w:val="nil"/>
              <w:bottom w:val="single" w:sz="12" w:space="0" w:color="1F497D" w:themeColor="text2"/>
            </w:tcBorders>
            <w:shd w:val="solid" w:color="1F497D" w:themeColor="text2" w:fill="FFFFFF" w:themeFill="background1"/>
          </w:tcPr>
          <w:p w:rsidR="004E33D2" w:rsidRPr="001D5475" w:rsidRDefault="001531E4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single" w:sz="12" w:space="0" w:color="1F497D" w:themeColor="text2"/>
            </w:tcBorders>
            <w:shd w:val="solid" w:color="1F497D" w:themeColor="text2" w:fill="FFFFFF" w:themeFill="background1"/>
          </w:tcPr>
          <w:p w:rsidR="004E33D2" w:rsidRPr="00A23F04" w:rsidRDefault="003C7D7A" w:rsidP="00357F7A">
            <w:pPr>
              <w:tabs>
                <w:tab w:val="left" w:pos="459"/>
              </w:tabs>
              <w:ind w:left="-250" w:right="1026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47</w:t>
            </w:r>
          </w:p>
        </w:tc>
      </w:tr>
    </w:tbl>
    <w:p w:rsidR="00DC0507" w:rsidRDefault="00294CC5" w:rsidP="00DC0507">
      <w:pPr>
        <w:pStyle w:val="Subttulo"/>
        <w:jc w:val="both"/>
        <w:rPr>
          <w:sz w:val="13"/>
        </w:rPr>
      </w:pPr>
      <w:r>
        <w:rPr>
          <w:sz w:val="13"/>
        </w:rPr>
        <w:t>Fonte: Diretorias Técnicas</w:t>
      </w:r>
    </w:p>
    <w:p w:rsidR="00294CC5" w:rsidRDefault="00294CC5" w:rsidP="00DC0507">
      <w:pPr>
        <w:pStyle w:val="Subttulo"/>
        <w:jc w:val="both"/>
        <w:rPr>
          <w:sz w:val="13"/>
        </w:rPr>
      </w:pPr>
    </w:p>
    <w:p w:rsidR="00C531FD" w:rsidRDefault="00C531FD" w:rsidP="00DC0507">
      <w:pPr>
        <w:pStyle w:val="Subttulo"/>
        <w:tabs>
          <w:tab w:val="left" w:pos="709"/>
        </w:tabs>
        <w:jc w:val="both"/>
        <w:rPr>
          <w:rFonts w:ascii="Arial" w:hAnsi="Arial"/>
          <w:sz w:val="22"/>
        </w:rPr>
      </w:pPr>
    </w:p>
    <w:p w:rsidR="00DC0507" w:rsidRPr="00A23F04" w:rsidRDefault="00DC0507" w:rsidP="00DC0507">
      <w:pPr>
        <w:pStyle w:val="Subttulo"/>
        <w:tabs>
          <w:tab w:val="left" w:pos="709"/>
        </w:tabs>
        <w:jc w:val="both"/>
        <w:rPr>
          <w:rFonts w:ascii="Arial" w:hAnsi="Arial"/>
          <w:color w:val="1F497D" w:themeColor="text2"/>
          <w:sz w:val="22"/>
        </w:rPr>
      </w:pPr>
      <w:r w:rsidRPr="00A23F04">
        <w:rPr>
          <w:rFonts w:ascii="Arial" w:hAnsi="Arial"/>
          <w:color w:val="1F497D" w:themeColor="text2"/>
          <w:sz w:val="22"/>
        </w:rPr>
        <w:t>2.</w:t>
      </w:r>
      <w:r w:rsidR="00377F3A" w:rsidRPr="00A23F04">
        <w:rPr>
          <w:rFonts w:ascii="Arial" w:hAnsi="Arial"/>
          <w:color w:val="1F497D" w:themeColor="text2"/>
          <w:sz w:val="22"/>
        </w:rPr>
        <w:t>7</w:t>
      </w:r>
      <w:r w:rsidRPr="00A23F04">
        <w:rPr>
          <w:rFonts w:ascii="Arial" w:hAnsi="Arial"/>
          <w:color w:val="1F497D" w:themeColor="text2"/>
          <w:sz w:val="22"/>
        </w:rPr>
        <w:t>.</w:t>
      </w:r>
      <w:r w:rsidR="00CE4FF3">
        <w:rPr>
          <w:rFonts w:ascii="Arial" w:hAnsi="Arial"/>
          <w:color w:val="1F497D" w:themeColor="text2"/>
          <w:sz w:val="22"/>
        </w:rPr>
        <w:t>2</w:t>
      </w:r>
      <w:r w:rsidRPr="00A23F04">
        <w:rPr>
          <w:rFonts w:ascii="Arial" w:hAnsi="Arial"/>
          <w:color w:val="1F497D" w:themeColor="text2"/>
          <w:sz w:val="22"/>
        </w:rPr>
        <w:t xml:space="preserve">. Atos sujeitos a registro </w:t>
      </w:r>
    </w:p>
    <w:p w:rsidR="00DC0507" w:rsidRDefault="00DC0507" w:rsidP="00DC0507">
      <w:pPr>
        <w:pStyle w:val="Subttulo"/>
        <w:jc w:val="both"/>
        <w:rPr>
          <w:rFonts w:ascii="Arial" w:hAnsi="Arial"/>
          <w:sz w:val="22"/>
        </w:rPr>
      </w:pP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art. 34 da Lei Complementar 202 de 15 de dezembro de 2000, regulado pelo Regimento Interno</w:t>
      </w:r>
      <w:r w:rsidR="009B5759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Resolução TC 06/2001, art. 36, estabelece a apreciação pelo Tribunal, para fins de registro, dos atos de:</w:t>
      </w:r>
    </w:p>
    <w:p w:rsidR="00127F24" w:rsidRDefault="00127F24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Default="00DC0507" w:rsidP="00127F24">
      <w:pPr>
        <w:pStyle w:val="Textopadro"/>
        <w:widowControl/>
        <w:numPr>
          <w:ilvl w:val="0"/>
          <w:numId w:val="1"/>
        </w:numPr>
        <w:tabs>
          <w:tab w:val="clear" w:pos="1854"/>
          <w:tab w:val="num" w:pos="1560"/>
        </w:tabs>
        <w:ind w:left="1560" w:hanging="426"/>
        <w:jc w:val="both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>admissão de pessoal a qualquer título, na administração direta e indireta, do Estado e do Município, incluídas as fundações instituídas e mantidas pelo poder público, excetuadas as nomeações para cargo de provimento em comissão; e</w:t>
      </w:r>
    </w:p>
    <w:p w:rsidR="00127F24" w:rsidRDefault="00127F24" w:rsidP="00127F24">
      <w:pPr>
        <w:pStyle w:val="Textopadro"/>
        <w:widowControl/>
        <w:ind w:left="1560"/>
        <w:jc w:val="both"/>
        <w:rPr>
          <w:rFonts w:ascii="Arial" w:hAnsi="Arial"/>
          <w:sz w:val="22"/>
          <w:lang w:val="pt-BR"/>
        </w:rPr>
      </w:pPr>
    </w:p>
    <w:p w:rsidR="00DC0507" w:rsidRDefault="00DC0507" w:rsidP="00127F24">
      <w:pPr>
        <w:numPr>
          <w:ilvl w:val="0"/>
          <w:numId w:val="1"/>
        </w:numPr>
        <w:tabs>
          <w:tab w:val="clear" w:pos="1854"/>
          <w:tab w:val="num" w:pos="1560"/>
        </w:tabs>
        <w:ind w:left="1560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concessão de aposentadoria, reformas, pensões e transferência para a reserva, bem como de melhorias posteriores que tenham alterado o fundamento legal do respectivo ato inicial, na forma prevista em provimento próprio.</w:t>
      </w:r>
    </w:p>
    <w:p w:rsidR="00D674A7" w:rsidRDefault="00D674A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Tabela 10 apresenta a quantidade de atos,</w:t>
      </w:r>
      <w:r w:rsidR="00377F3A">
        <w:rPr>
          <w:rFonts w:ascii="Arial" w:hAnsi="Arial"/>
          <w:sz w:val="22"/>
        </w:rPr>
        <w:t xml:space="preserve"> sujeitos a registro,</w:t>
      </w:r>
      <w:r>
        <w:rPr>
          <w:rFonts w:ascii="Arial" w:hAnsi="Arial"/>
          <w:sz w:val="22"/>
        </w:rPr>
        <w:t xml:space="preserve"> </w:t>
      </w:r>
      <w:r w:rsidR="00377F3A">
        <w:rPr>
          <w:rFonts w:ascii="Arial" w:hAnsi="Arial"/>
          <w:sz w:val="22"/>
        </w:rPr>
        <w:t>apreciados</w:t>
      </w:r>
      <w:r>
        <w:rPr>
          <w:rFonts w:ascii="Arial" w:hAnsi="Arial"/>
          <w:sz w:val="22"/>
        </w:rPr>
        <w:t xml:space="preserve"> pelo Tribunal ao longo do </w:t>
      </w:r>
      <w:r w:rsidR="003C3296">
        <w:rPr>
          <w:rFonts w:ascii="Arial" w:hAnsi="Arial"/>
          <w:sz w:val="22"/>
        </w:rPr>
        <w:t xml:space="preserve">segundo </w:t>
      </w:r>
      <w:r>
        <w:rPr>
          <w:rFonts w:ascii="Arial" w:hAnsi="Arial"/>
          <w:sz w:val="22"/>
        </w:rPr>
        <w:t xml:space="preserve"> trimestre 201</w:t>
      </w:r>
      <w:r w:rsidR="007F2D03">
        <w:rPr>
          <w:rFonts w:ascii="Arial" w:hAnsi="Arial"/>
          <w:sz w:val="22"/>
        </w:rPr>
        <w:t>5</w:t>
      </w:r>
      <w:r w:rsidR="00377F3A">
        <w:rPr>
          <w:rFonts w:ascii="Arial" w:hAnsi="Arial"/>
          <w:sz w:val="22"/>
        </w:rPr>
        <w:t>.</w:t>
      </w:r>
      <w:r w:rsidR="00FC5B35">
        <w:rPr>
          <w:rFonts w:ascii="Arial" w:hAnsi="Arial"/>
          <w:sz w:val="22"/>
        </w:rPr>
        <w:t xml:space="preserve">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F30113" w:rsidRDefault="00F30113" w:rsidP="00DC0507">
      <w:pPr>
        <w:jc w:val="both"/>
        <w:rPr>
          <w:rFonts w:ascii="Arial" w:hAnsi="Arial"/>
          <w:b/>
          <w:sz w:val="22"/>
        </w:rPr>
      </w:pPr>
    </w:p>
    <w:p w:rsidR="00DC0507" w:rsidRPr="00AF51ED" w:rsidRDefault="00DC0507" w:rsidP="00127F24">
      <w:pPr>
        <w:ind w:left="1418" w:hanging="1418"/>
        <w:jc w:val="both"/>
        <w:rPr>
          <w:rFonts w:ascii="Arial" w:hAnsi="Arial"/>
          <w:b/>
          <w:color w:val="1F497D" w:themeColor="text2"/>
          <w:sz w:val="22"/>
        </w:rPr>
      </w:pPr>
      <w:r w:rsidRPr="00AF51ED">
        <w:rPr>
          <w:rFonts w:ascii="Arial" w:hAnsi="Arial"/>
          <w:b/>
          <w:color w:val="1F497D" w:themeColor="text2"/>
          <w:sz w:val="22"/>
        </w:rPr>
        <w:t xml:space="preserve">TABELA 10 - ATOS DE PESSOAL, PENSÃO E AUXÍLIO ESPECIAL JULGADOS PELO TRIBUNAL PLENO </w:t>
      </w:r>
    </w:p>
    <w:tbl>
      <w:tblPr>
        <w:tblW w:w="0" w:type="auto"/>
        <w:jc w:val="center"/>
        <w:tblInd w:w="-6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"/>
        <w:gridCol w:w="6563"/>
        <w:gridCol w:w="20"/>
        <w:gridCol w:w="2009"/>
      </w:tblGrid>
      <w:tr w:rsidR="00DC0507" w:rsidRPr="00A23F04" w:rsidTr="00A23F04">
        <w:trPr>
          <w:gridBefore w:val="1"/>
          <w:wBefore w:w="21" w:type="dxa"/>
          <w:cantSplit/>
          <w:jc w:val="center"/>
        </w:trPr>
        <w:tc>
          <w:tcPr>
            <w:tcW w:w="6583" w:type="dxa"/>
            <w:gridSpan w:val="2"/>
            <w:tcBorders>
              <w:top w:val="single" w:sz="12" w:space="0" w:color="1F497D" w:themeColor="text2"/>
            </w:tcBorders>
            <w:shd w:val="clear" w:color="auto" w:fill="1F497D" w:themeFill="text2"/>
          </w:tcPr>
          <w:p w:rsidR="00DC0507" w:rsidRPr="00A23F04" w:rsidRDefault="00DC0507" w:rsidP="000721EC">
            <w:pPr>
              <w:spacing w:before="60"/>
              <w:ind w:right="680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A23F04">
              <w:rPr>
                <w:rFonts w:ascii="Arial" w:hAnsi="Arial"/>
                <w:b/>
                <w:color w:val="FFFFFF" w:themeColor="background1"/>
              </w:rPr>
              <w:t>Natureza</w:t>
            </w:r>
          </w:p>
        </w:tc>
        <w:tc>
          <w:tcPr>
            <w:tcW w:w="2009" w:type="dxa"/>
            <w:tcBorders>
              <w:top w:val="single" w:sz="12" w:space="0" w:color="1F497D" w:themeColor="text2"/>
            </w:tcBorders>
            <w:shd w:val="clear" w:color="auto" w:fill="1F497D" w:themeFill="text2"/>
          </w:tcPr>
          <w:p w:rsidR="00DC0507" w:rsidRPr="00A23F04" w:rsidRDefault="00DC0507" w:rsidP="000721EC">
            <w:pPr>
              <w:spacing w:before="60"/>
              <w:ind w:right="680"/>
              <w:jc w:val="right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A23F04">
              <w:rPr>
                <w:rFonts w:ascii="Arial" w:hAnsi="Arial"/>
                <w:b/>
                <w:color w:val="FFFFFF" w:themeColor="background1"/>
              </w:rPr>
              <w:t>Quantidade</w:t>
            </w:r>
          </w:p>
        </w:tc>
      </w:tr>
      <w:tr w:rsidR="008010DD" w:rsidTr="003A33B4">
        <w:trPr>
          <w:jc w:val="center"/>
        </w:trPr>
        <w:tc>
          <w:tcPr>
            <w:tcW w:w="6584" w:type="dxa"/>
            <w:gridSpan w:val="2"/>
          </w:tcPr>
          <w:p w:rsidR="008010DD" w:rsidRDefault="008010DD" w:rsidP="008010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Registro de Ato de Aposentadoria</w:t>
            </w:r>
          </w:p>
        </w:tc>
        <w:tc>
          <w:tcPr>
            <w:tcW w:w="2029" w:type="dxa"/>
            <w:gridSpan w:val="2"/>
          </w:tcPr>
          <w:p w:rsidR="008010DD" w:rsidRDefault="001531E4" w:rsidP="000721EC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213</w:t>
            </w:r>
          </w:p>
        </w:tc>
      </w:tr>
      <w:tr w:rsidR="00E008AD" w:rsidTr="003A33B4">
        <w:trPr>
          <w:jc w:val="center"/>
        </w:trPr>
        <w:tc>
          <w:tcPr>
            <w:tcW w:w="6584" w:type="dxa"/>
            <w:gridSpan w:val="2"/>
          </w:tcPr>
          <w:p w:rsidR="00E008AD" w:rsidRDefault="00E008AD" w:rsidP="008010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Registro de</w:t>
            </w:r>
            <w:r w:rsidR="004A390D">
              <w:rPr>
                <w:rFonts w:ascii="Arial" w:hAnsi="Arial"/>
                <w:sz w:val="18"/>
              </w:rPr>
              <w:t xml:space="preserve"> Ato de </w:t>
            </w:r>
            <w:r>
              <w:rPr>
                <w:rFonts w:ascii="Arial" w:hAnsi="Arial"/>
                <w:sz w:val="18"/>
              </w:rPr>
              <w:t xml:space="preserve"> Reforma</w:t>
            </w:r>
          </w:p>
        </w:tc>
        <w:tc>
          <w:tcPr>
            <w:tcW w:w="2029" w:type="dxa"/>
            <w:gridSpan w:val="2"/>
          </w:tcPr>
          <w:p w:rsidR="00E008AD" w:rsidRDefault="001531E4" w:rsidP="000721EC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DC0507" w:rsidTr="003A33B4">
        <w:trPr>
          <w:jc w:val="center"/>
        </w:trPr>
        <w:tc>
          <w:tcPr>
            <w:tcW w:w="6584" w:type="dxa"/>
            <w:gridSpan w:val="2"/>
          </w:tcPr>
          <w:p w:rsidR="00DC0507" w:rsidRDefault="00DC0507" w:rsidP="000721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Registro de Ato de transferência p/ a Reserva Remunerada</w:t>
            </w:r>
          </w:p>
        </w:tc>
        <w:tc>
          <w:tcPr>
            <w:tcW w:w="2029" w:type="dxa"/>
            <w:gridSpan w:val="2"/>
          </w:tcPr>
          <w:p w:rsidR="00DC0507" w:rsidRDefault="001531E4" w:rsidP="00DF5AE3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</w:tr>
      <w:tr w:rsidR="002F5264" w:rsidTr="003A33B4">
        <w:trPr>
          <w:jc w:val="center"/>
        </w:trPr>
        <w:tc>
          <w:tcPr>
            <w:tcW w:w="6584" w:type="dxa"/>
            <w:gridSpan w:val="2"/>
          </w:tcPr>
          <w:p w:rsidR="002F5264" w:rsidRDefault="002F5264" w:rsidP="002F52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Retificação  de ato Aposentatório</w:t>
            </w:r>
          </w:p>
        </w:tc>
        <w:tc>
          <w:tcPr>
            <w:tcW w:w="2029" w:type="dxa"/>
            <w:gridSpan w:val="2"/>
          </w:tcPr>
          <w:p w:rsidR="002F5264" w:rsidRDefault="001531E4" w:rsidP="00DF5AE3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</w:tr>
      <w:tr w:rsidR="00115FB1" w:rsidRPr="00115FB1" w:rsidTr="003A33B4">
        <w:trPr>
          <w:jc w:val="center"/>
        </w:trPr>
        <w:tc>
          <w:tcPr>
            <w:tcW w:w="6584" w:type="dxa"/>
            <w:gridSpan w:val="2"/>
          </w:tcPr>
          <w:p w:rsidR="00115FB1" w:rsidRDefault="00115FB1" w:rsidP="002F5264">
            <w:pPr>
              <w:rPr>
                <w:rFonts w:ascii="Arial" w:hAnsi="Arial"/>
                <w:sz w:val="18"/>
              </w:rPr>
            </w:pPr>
            <w:r w:rsidRPr="00115FB1">
              <w:rPr>
                <w:rFonts w:ascii="Arial" w:hAnsi="Arial"/>
                <w:sz w:val="18"/>
              </w:rPr>
              <w:t>Registro do Ato de Pensão e Auxílio Especial</w:t>
            </w:r>
          </w:p>
        </w:tc>
        <w:tc>
          <w:tcPr>
            <w:tcW w:w="2029" w:type="dxa"/>
            <w:gridSpan w:val="2"/>
          </w:tcPr>
          <w:p w:rsidR="00115FB1" w:rsidRDefault="001531E4" w:rsidP="00115FB1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</w:t>
            </w:r>
          </w:p>
        </w:tc>
      </w:tr>
      <w:tr w:rsidR="00545746" w:rsidRPr="00115FB1" w:rsidTr="003A33B4">
        <w:trPr>
          <w:jc w:val="center"/>
        </w:trPr>
        <w:tc>
          <w:tcPr>
            <w:tcW w:w="6584" w:type="dxa"/>
            <w:gridSpan w:val="2"/>
          </w:tcPr>
          <w:p w:rsidR="00545746" w:rsidRDefault="00545746" w:rsidP="002F52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Auditoria de Atos de Pessoal</w:t>
            </w:r>
          </w:p>
        </w:tc>
        <w:tc>
          <w:tcPr>
            <w:tcW w:w="2029" w:type="dxa"/>
            <w:gridSpan w:val="2"/>
          </w:tcPr>
          <w:p w:rsidR="00545746" w:rsidRDefault="001531E4" w:rsidP="00115FB1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</w:tr>
      <w:tr w:rsidR="00DC0507" w:rsidTr="00A23F04">
        <w:trPr>
          <w:jc w:val="center"/>
        </w:trPr>
        <w:tc>
          <w:tcPr>
            <w:tcW w:w="6584" w:type="dxa"/>
            <w:gridSpan w:val="2"/>
            <w:tcBorders>
              <w:bottom w:val="single" w:sz="12" w:space="0" w:color="1F497D" w:themeColor="text2"/>
            </w:tcBorders>
            <w:shd w:val="clear" w:color="auto" w:fill="1F497D" w:themeFill="text2"/>
          </w:tcPr>
          <w:p w:rsidR="00DC0507" w:rsidRPr="00BE0223" w:rsidRDefault="00DC0507" w:rsidP="000721EC">
            <w:pPr>
              <w:spacing w:before="40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BE0223">
              <w:rPr>
                <w:rFonts w:ascii="Arial" w:hAnsi="Arial"/>
                <w:b/>
                <w:color w:val="FFFFFF" w:themeColor="background1"/>
              </w:rPr>
              <w:t>Total</w:t>
            </w:r>
          </w:p>
        </w:tc>
        <w:tc>
          <w:tcPr>
            <w:tcW w:w="2029" w:type="dxa"/>
            <w:gridSpan w:val="2"/>
            <w:tcBorders>
              <w:bottom w:val="single" w:sz="12" w:space="0" w:color="1F497D" w:themeColor="text2"/>
            </w:tcBorders>
            <w:shd w:val="clear" w:color="auto" w:fill="1F497D" w:themeFill="text2"/>
          </w:tcPr>
          <w:p w:rsidR="00DC0507" w:rsidRPr="00BE0223" w:rsidRDefault="001531E4" w:rsidP="000721EC">
            <w:pPr>
              <w:spacing w:before="40"/>
              <w:ind w:right="984"/>
              <w:jc w:val="right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323</w:t>
            </w:r>
          </w:p>
        </w:tc>
      </w:tr>
    </w:tbl>
    <w:p w:rsidR="00DC0507" w:rsidRDefault="00DC0507" w:rsidP="00DC0507">
      <w:pPr>
        <w:ind w:right="922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</w:t>
      </w:r>
      <w:r w:rsidR="003A33B4">
        <w:rPr>
          <w:rFonts w:ascii="Arial" w:hAnsi="Arial"/>
          <w:sz w:val="13"/>
        </w:rPr>
        <w:t xml:space="preserve">    </w:t>
      </w:r>
      <w:r>
        <w:rPr>
          <w:rFonts w:ascii="Arial" w:hAnsi="Arial"/>
          <w:sz w:val="13"/>
        </w:rPr>
        <w:t xml:space="preserve"> Fonte:  Secretaria Geral - SEG</w:t>
      </w:r>
    </w:p>
    <w:p w:rsidR="00D16E7A" w:rsidRDefault="00D16E7A"/>
    <w:sectPr w:rsidR="00D16E7A" w:rsidSect="008E555C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1418" w:bottom="669" w:left="1418" w:header="720" w:footer="1015" w:gutter="0"/>
      <w:pgNumType w:start="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68" w:rsidRDefault="00AE3F68">
      <w:r>
        <w:separator/>
      </w:r>
    </w:p>
  </w:endnote>
  <w:endnote w:type="continuationSeparator" w:id="1">
    <w:p w:rsidR="00AE3F68" w:rsidRDefault="00AE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AA" w:rsidRDefault="006745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45AA" w:rsidRDefault="006745A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AA" w:rsidRDefault="006745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208C"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6745AA" w:rsidRDefault="006745A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68" w:rsidRDefault="00AE3F68">
      <w:r>
        <w:separator/>
      </w:r>
    </w:p>
  </w:footnote>
  <w:footnote w:type="continuationSeparator" w:id="1">
    <w:p w:rsidR="00AE3F68" w:rsidRDefault="00AE3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6745AA" w:rsidRPr="007A667A" w:rsidTr="00AA6FA7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6745AA" w:rsidRPr="007A667A" w:rsidRDefault="006745AA" w:rsidP="000721EC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745AA" w:rsidRPr="007A667A" w:rsidTr="00AA6FA7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6745AA" w:rsidRPr="00AA6FA7" w:rsidRDefault="006745AA" w:rsidP="00AA6FA7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AA6FA7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2</w:t>
          </w:r>
          <w:r w:rsidRPr="00AA6FA7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6745AA" w:rsidRPr="007A667A" w:rsidRDefault="006745AA" w:rsidP="000721EC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6745AA" w:rsidRDefault="006745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6745AA" w:rsidRPr="007A667A" w:rsidTr="00AA6FA7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6745AA" w:rsidRPr="007A667A" w:rsidRDefault="006745AA" w:rsidP="000721EC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745AA" w:rsidRPr="007A667A" w:rsidTr="00AA6FA7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6745AA" w:rsidRPr="00AA6FA7" w:rsidRDefault="006745AA" w:rsidP="00AA6FA7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AA6FA7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2</w:t>
          </w:r>
          <w:r w:rsidRPr="00AA6FA7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6745AA" w:rsidRPr="007A667A" w:rsidRDefault="006745AA" w:rsidP="000721EC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6745AA" w:rsidRDefault="006745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0AF6"/>
    <w:multiLevelType w:val="hybridMultilevel"/>
    <w:tmpl w:val="59C65D24"/>
    <w:lvl w:ilvl="0" w:tplc="F6B8A574">
      <w:start w:val="1"/>
      <w:numFmt w:val="upperRoman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>
    <w:nsid w:val="527D5856"/>
    <w:multiLevelType w:val="hybridMultilevel"/>
    <w:tmpl w:val="775ED6C0"/>
    <w:lvl w:ilvl="0" w:tplc="FE6AC59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67BDF"/>
    <w:multiLevelType w:val="hybridMultilevel"/>
    <w:tmpl w:val="FCB09A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9163F"/>
    <w:multiLevelType w:val="multilevel"/>
    <w:tmpl w:val="52E8F16C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38274"/>
  </w:hdrShapeDefaults>
  <w:footnotePr>
    <w:footnote w:id="0"/>
    <w:footnote w:id="1"/>
  </w:footnotePr>
  <w:endnotePr>
    <w:endnote w:id="0"/>
    <w:endnote w:id="1"/>
  </w:endnotePr>
  <w:compat/>
  <w:rsids>
    <w:rsidRoot w:val="00DC0507"/>
    <w:rsid w:val="00000FA6"/>
    <w:rsid w:val="0000236F"/>
    <w:rsid w:val="00006D9D"/>
    <w:rsid w:val="0001112F"/>
    <w:rsid w:val="00017C49"/>
    <w:rsid w:val="000206C9"/>
    <w:rsid w:val="00021AB6"/>
    <w:rsid w:val="000267BC"/>
    <w:rsid w:val="00037149"/>
    <w:rsid w:val="00040A79"/>
    <w:rsid w:val="00040A96"/>
    <w:rsid w:val="00041ED4"/>
    <w:rsid w:val="00043364"/>
    <w:rsid w:val="00046078"/>
    <w:rsid w:val="00056539"/>
    <w:rsid w:val="00057490"/>
    <w:rsid w:val="00060E7C"/>
    <w:rsid w:val="0006165B"/>
    <w:rsid w:val="00071277"/>
    <w:rsid w:val="000721EC"/>
    <w:rsid w:val="00072ABB"/>
    <w:rsid w:val="00072DFC"/>
    <w:rsid w:val="000800BF"/>
    <w:rsid w:val="00081736"/>
    <w:rsid w:val="00086137"/>
    <w:rsid w:val="000903E7"/>
    <w:rsid w:val="000928D7"/>
    <w:rsid w:val="00096935"/>
    <w:rsid w:val="00096EC8"/>
    <w:rsid w:val="00097808"/>
    <w:rsid w:val="000A1483"/>
    <w:rsid w:val="000A1815"/>
    <w:rsid w:val="000A2CDF"/>
    <w:rsid w:val="000A3C45"/>
    <w:rsid w:val="000A6DD3"/>
    <w:rsid w:val="000B435F"/>
    <w:rsid w:val="000B4ED1"/>
    <w:rsid w:val="000B78C0"/>
    <w:rsid w:val="000C7B5C"/>
    <w:rsid w:val="000D18ED"/>
    <w:rsid w:val="000D6D61"/>
    <w:rsid w:val="000E1F52"/>
    <w:rsid w:val="000E4BB7"/>
    <w:rsid w:val="000E62C6"/>
    <w:rsid w:val="000F3BD8"/>
    <w:rsid w:val="000F3E1F"/>
    <w:rsid w:val="000F64EE"/>
    <w:rsid w:val="00100EBC"/>
    <w:rsid w:val="001015FE"/>
    <w:rsid w:val="00103695"/>
    <w:rsid w:val="00103E94"/>
    <w:rsid w:val="0010558F"/>
    <w:rsid w:val="00106931"/>
    <w:rsid w:val="00107B37"/>
    <w:rsid w:val="00115FB1"/>
    <w:rsid w:val="00120276"/>
    <w:rsid w:val="00122CAC"/>
    <w:rsid w:val="0012544F"/>
    <w:rsid w:val="00127F24"/>
    <w:rsid w:val="00130E81"/>
    <w:rsid w:val="00130F9A"/>
    <w:rsid w:val="0013548B"/>
    <w:rsid w:val="00135FA1"/>
    <w:rsid w:val="00136DB5"/>
    <w:rsid w:val="001434C1"/>
    <w:rsid w:val="00145F15"/>
    <w:rsid w:val="00147087"/>
    <w:rsid w:val="00150B04"/>
    <w:rsid w:val="00152842"/>
    <w:rsid w:val="00152F34"/>
    <w:rsid w:val="001531E4"/>
    <w:rsid w:val="00165139"/>
    <w:rsid w:val="00166B88"/>
    <w:rsid w:val="00174D83"/>
    <w:rsid w:val="0017553F"/>
    <w:rsid w:val="0017639C"/>
    <w:rsid w:val="00180E8C"/>
    <w:rsid w:val="00184A56"/>
    <w:rsid w:val="0018534C"/>
    <w:rsid w:val="001870BB"/>
    <w:rsid w:val="00193776"/>
    <w:rsid w:val="0019674A"/>
    <w:rsid w:val="001A2233"/>
    <w:rsid w:val="001A29C0"/>
    <w:rsid w:val="001A4B10"/>
    <w:rsid w:val="001B7319"/>
    <w:rsid w:val="001C1456"/>
    <w:rsid w:val="001C2677"/>
    <w:rsid w:val="001C3491"/>
    <w:rsid w:val="001C6972"/>
    <w:rsid w:val="001D0339"/>
    <w:rsid w:val="001D5475"/>
    <w:rsid w:val="001D55D7"/>
    <w:rsid w:val="001E1409"/>
    <w:rsid w:val="001E35A3"/>
    <w:rsid w:val="001E63BB"/>
    <w:rsid w:val="001E6F93"/>
    <w:rsid w:val="001F142B"/>
    <w:rsid w:val="001F455B"/>
    <w:rsid w:val="001F7ECB"/>
    <w:rsid w:val="00200453"/>
    <w:rsid w:val="0020474E"/>
    <w:rsid w:val="0021128B"/>
    <w:rsid w:val="00213940"/>
    <w:rsid w:val="00214B35"/>
    <w:rsid w:val="00220892"/>
    <w:rsid w:val="00224B0E"/>
    <w:rsid w:val="0023088D"/>
    <w:rsid w:val="002312F6"/>
    <w:rsid w:val="00232837"/>
    <w:rsid w:val="002350C8"/>
    <w:rsid w:val="00240C15"/>
    <w:rsid w:val="002416A5"/>
    <w:rsid w:val="0024362F"/>
    <w:rsid w:val="00245D61"/>
    <w:rsid w:val="00246E2A"/>
    <w:rsid w:val="0025018D"/>
    <w:rsid w:val="0026272B"/>
    <w:rsid w:val="002652AF"/>
    <w:rsid w:val="00265BAD"/>
    <w:rsid w:val="00265C2F"/>
    <w:rsid w:val="002665B5"/>
    <w:rsid w:val="00286F5A"/>
    <w:rsid w:val="002874DD"/>
    <w:rsid w:val="00292003"/>
    <w:rsid w:val="0029375B"/>
    <w:rsid w:val="00294CC5"/>
    <w:rsid w:val="002A24BA"/>
    <w:rsid w:val="002A4251"/>
    <w:rsid w:val="002A6F7F"/>
    <w:rsid w:val="002B10B5"/>
    <w:rsid w:val="002B12D6"/>
    <w:rsid w:val="002B1A14"/>
    <w:rsid w:val="002B370F"/>
    <w:rsid w:val="002B3F33"/>
    <w:rsid w:val="002B3FCD"/>
    <w:rsid w:val="002B6C24"/>
    <w:rsid w:val="002B7C84"/>
    <w:rsid w:val="002C0755"/>
    <w:rsid w:val="002C18C5"/>
    <w:rsid w:val="002C41E8"/>
    <w:rsid w:val="002C57CD"/>
    <w:rsid w:val="002C59B0"/>
    <w:rsid w:val="002C621F"/>
    <w:rsid w:val="002D24A7"/>
    <w:rsid w:val="002D2834"/>
    <w:rsid w:val="002D74EA"/>
    <w:rsid w:val="002E2D9C"/>
    <w:rsid w:val="002E4C46"/>
    <w:rsid w:val="002E6A31"/>
    <w:rsid w:val="002E6D7E"/>
    <w:rsid w:val="002F1638"/>
    <w:rsid w:val="002F28A5"/>
    <w:rsid w:val="002F3DED"/>
    <w:rsid w:val="002F459C"/>
    <w:rsid w:val="002F5264"/>
    <w:rsid w:val="002F7EBD"/>
    <w:rsid w:val="00302958"/>
    <w:rsid w:val="00302A47"/>
    <w:rsid w:val="0030337B"/>
    <w:rsid w:val="00303B57"/>
    <w:rsid w:val="00304776"/>
    <w:rsid w:val="003059EE"/>
    <w:rsid w:val="00305A45"/>
    <w:rsid w:val="003112B1"/>
    <w:rsid w:val="00315A74"/>
    <w:rsid w:val="00316964"/>
    <w:rsid w:val="00316C2E"/>
    <w:rsid w:val="0032020A"/>
    <w:rsid w:val="0032323B"/>
    <w:rsid w:val="003249D6"/>
    <w:rsid w:val="003250FA"/>
    <w:rsid w:val="00325BCB"/>
    <w:rsid w:val="00325F11"/>
    <w:rsid w:val="00330C3C"/>
    <w:rsid w:val="00331FFB"/>
    <w:rsid w:val="0033320B"/>
    <w:rsid w:val="00334463"/>
    <w:rsid w:val="00334480"/>
    <w:rsid w:val="00336CCC"/>
    <w:rsid w:val="00340071"/>
    <w:rsid w:val="00340896"/>
    <w:rsid w:val="0034287A"/>
    <w:rsid w:val="003432C1"/>
    <w:rsid w:val="003458B2"/>
    <w:rsid w:val="003462E8"/>
    <w:rsid w:val="00347CC5"/>
    <w:rsid w:val="0035077A"/>
    <w:rsid w:val="00350CE4"/>
    <w:rsid w:val="0035234B"/>
    <w:rsid w:val="003529DB"/>
    <w:rsid w:val="00352D95"/>
    <w:rsid w:val="00357F7A"/>
    <w:rsid w:val="00363B7D"/>
    <w:rsid w:val="003648B2"/>
    <w:rsid w:val="003731AA"/>
    <w:rsid w:val="00377F3A"/>
    <w:rsid w:val="00385DAA"/>
    <w:rsid w:val="003861BF"/>
    <w:rsid w:val="00387606"/>
    <w:rsid w:val="003908FA"/>
    <w:rsid w:val="00390BCF"/>
    <w:rsid w:val="0039125C"/>
    <w:rsid w:val="003926C0"/>
    <w:rsid w:val="003927C4"/>
    <w:rsid w:val="003A222B"/>
    <w:rsid w:val="003A2BD6"/>
    <w:rsid w:val="003A33B4"/>
    <w:rsid w:val="003A457C"/>
    <w:rsid w:val="003A48F1"/>
    <w:rsid w:val="003A59D7"/>
    <w:rsid w:val="003A6C65"/>
    <w:rsid w:val="003B124A"/>
    <w:rsid w:val="003B2735"/>
    <w:rsid w:val="003B448D"/>
    <w:rsid w:val="003B65A0"/>
    <w:rsid w:val="003C14FF"/>
    <w:rsid w:val="003C1C7A"/>
    <w:rsid w:val="003C3296"/>
    <w:rsid w:val="003C3877"/>
    <w:rsid w:val="003C6468"/>
    <w:rsid w:val="003C6639"/>
    <w:rsid w:val="003C68EE"/>
    <w:rsid w:val="003C7D7A"/>
    <w:rsid w:val="003D3C85"/>
    <w:rsid w:val="003D4210"/>
    <w:rsid w:val="003E26CD"/>
    <w:rsid w:val="003E79BE"/>
    <w:rsid w:val="003E7E03"/>
    <w:rsid w:val="003F0D09"/>
    <w:rsid w:val="003F16D8"/>
    <w:rsid w:val="003F5926"/>
    <w:rsid w:val="00401365"/>
    <w:rsid w:val="00402E9B"/>
    <w:rsid w:val="00406899"/>
    <w:rsid w:val="0041140C"/>
    <w:rsid w:val="0041290F"/>
    <w:rsid w:val="00415EB9"/>
    <w:rsid w:val="004265B6"/>
    <w:rsid w:val="00430556"/>
    <w:rsid w:val="00433D76"/>
    <w:rsid w:val="00440F48"/>
    <w:rsid w:val="00442843"/>
    <w:rsid w:val="004441B4"/>
    <w:rsid w:val="00445D3D"/>
    <w:rsid w:val="00447894"/>
    <w:rsid w:val="004503FC"/>
    <w:rsid w:val="00454D34"/>
    <w:rsid w:val="00456196"/>
    <w:rsid w:val="0045664F"/>
    <w:rsid w:val="00460954"/>
    <w:rsid w:val="00462D3B"/>
    <w:rsid w:val="00463192"/>
    <w:rsid w:val="00466888"/>
    <w:rsid w:val="004735DE"/>
    <w:rsid w:val="00474165"/>
    <w:rsid w:val="00474620"/>
    <w:rsid w:val="0047541A"/>
    <w:rsid w:val="00477B75"/>
    <w:rsid w:val="0048687B"/>
    <w:rsid w:val="004873EB"/>
    <w:rsid w:val="0049373E"/>
    <w:rsid w:val="0049484C"/>
    <w:rsid w:val="004963B5"/>
    <w:rsid w:val="004A0651"/>
    <w:rsid w:val="004A1968"/>
    <w:rsid w:val="004A390D"/>
    <w:rsid w:val="004A5DC8"/>
    <w:rsid w:val="004A5F77"/>
    <w:rsid w:val="004B1A45"/>
    <w:rsid w:val="004B5018"/>
    <w:rsid w:val="004B5149"/>
    <w:rsid w:val="004B5695"/>
    <w:rsid w:val="004B6800"/>
    <w:rsid w:val="004C1E84"/>
    <w:rsid w:val="004C7A3D"/>
    <w:rsid w:val="004D0BB4"/>
    <w:rsid w:val="004D7477"/>
    <w:rsid w:val="004E1A0D"/>
    <w:rsid w:val="004E33D2"/>
    <w:rsid w:val="004E586A"/>
    <w:rsid w:val="004F007D"/>
    <w:rsid w:val="004F16F5"/>
    <w:rsid w:val="004F4EB8"/>
    <w:rsid w:val="004F5487"/>
    <w:rsid w:val="004F56D6"/>
    <w:rsid w:val="00501A34"/>
    <w:rsid w:val="00501BA5"/>
    <w:rsid w:val="00510EBA"/>
    <w:rsid w:val="00512C16"/>
    <w:rsid w:val="005142C8"/>
    <w:rsid w:val="00514515"/>
    <w:rsid w:val="005169BC"/>
    <w:rsid w:val="00523E68"/>
    <w:rsid w:val="0052709E"/>
    <w:rsid w:val="005272A1"/>
    <w:rsid w:val="005309CA"/>
    <w:rsid w:val="005311CC"/>
    <w:rsid w:val="00533685"/>
    <w:rsid w:val="00535CDA"/>
    <w:rsid w:val="0053633E"/>
    <w:rsid w:val="005449DB"/>
    <w:rsid w:val="00545746"/>
    <w:rsid w:val="00545B56"/>
    <w:rsid w:val="00551222"/>
    <w:rsid w:val="00552892"/>
    <w:rsid w:val="00565B60"/>
    <w:rsid w:val="00574FBE"/>
    <w:rsid w:val="00583209"/>
    <w:rsid w:val="00583717"/>
    <w:rsid w:val="005870EC"/>
    <w:rsid w:val="00587471"/>
    <w:rsid w:val="00587F47"/>
    <w:rsid w:val="005938EF"/>
    <w:rsid w:val="00593942"/>
    <w:rsid w:val="0059402A"/>
    <w:rsid w:val="00595F63"/>
    <w:rsid w:val="005A015B"/>
    <w:rsid w:val="005A0432"/>
    <w:rsid w:val="005A237C"/>
    <w:rsid w:val="005A3078"/>
    <w:rsid w:val="005A548D"/>
    <w:rsid w:val="005A6176"/>
    <w:rsid w:val="005A7E24"/>
    <w:rsid w:val="005B0355"/>
    <w:rsid w:val="005B08C6"/>
    <w:rsid w:val="005B1C5F"/>
    <w:rsid w:val="005B6BA6"/>
    <w:rsid w:val="005C0765"/>
    <w:rsid w:val="005C0FF7"/>
    <w:rsid w:val="005C12C7"/>
    <w:rsid w:val="005C175C"/>
    <w:rsid w:val="005C218E"/>
    <w:rsid w:val="005C3E7D"/>
    <w:rsid w:val="005C41CA"/>
    <w:rsid w:val="005C5309"/>
    <w:rsid w:val="005C5C88"/>
    <w:rsid w:val="005C6328"/>
    <w:rsid w:val="005D34BB"/>
    <w:rsid w:val="005D4B26"/>
    <w:rsid w:val="005D5823"/>
    <w:rsid w:val="005D662E"/>
    <w:rsid w:val="005E1B7F"/>
    <w:rsid w:val="005E1E9E"/>
    <w:rsid w:val="005E208C"/>
    <w:rsid w:val="005E4285"/>
    <w:rsid w:val="005E4A9F"/>
    <w:rsid w:val="005E4CC5"/>
    <w:rsid w:val="005F37CF"/>
    <w:rsid w:val="005F44F7"/>
    <w:rsid w:val="005F4CBC"/>
    <w:rsid w:val="00601B13"/>
    <w:rsid w:val="00602650"/>
    <w:rsid w:val="0061192A"/>
    <w:rsid w:val="006128E7"/>
    <w:rsid w:val="006133A5"/>
    <w:rsid w:val="006220D0"/>
    <w:rsid w:val="0063161F"/>
    <w:rsid w:val="00644B0C"/>
    <w:rsid w:val="00645960"/>
    <w:rsid w:val="00650728"/>
    <w:rsid w:val="006510B4"/>
    <w:rsid w:val="0065139E"/>
    <w:rsid w:val="00651AAF"/>
    <w:rsid w:val="0065207A"/>
    <w:rsid w:val="00652729"/>
    <w:rsid w:val="00654522"/>
    <w:rsid w:val="0065579D"/>
    <w:rsid w:val="00656746"/>
    <w:rsid w:val="00656AE7"/>
    <w:rsid w:val="0066341E"/>
    <w:rsid w:val="006656E2"/>
    <w:rsid w:val="00666CA4"/>
    <w:rsid w:val="006700E2"/>
    <w:rsid w:val="006745AA"/>
    <w:rsid w:val="00675545"/>
    <w:rsid w:val="00676116"/>
    <w:rsid w:val="0068093B"/>
    <w:rsid w:val="00681C88"/>
    <w:rsid w:val="0068567D"/>
    <w:rsid w:val="00687936"/>
    <w:rsid w:val="0069250C"/>
    <w:rsid w:val="006930D9"/>
    <w:rsid w:val="00694C99"/>
    <w:rsid w:val="006957B8"/>
    <w:rsid w:val="00697BF5"/>
    <w:rsid w:val="006A3309"/>
    <w:rsid w:val="006A7E6A"/>
    <w:rsid w:val="006B353B"/>
    <w:rsid w:val="006B5E93"/>
    <w:rsid w:val="006C159A"/>
    <w:rsid w:val="006C2DD7"/>
    <w:rsid w:val="006C354A"/>
    <w:rsid w:val="006C374B"/>
    <w:rsid w:val="006C60C6"/>
    <w:rsid w:val="006C70F1"/>
    <w:rsid w:val="006D349C"/>
    <w:rsid w:val="006E14A1"/>
    <w:rsid w:val="006E7002"/>
    <w:rsid w:val="006E7E3C"/>
    <w:rsid w:val="006F5B80"/>
    <w:rsid w:val="006F7143"/>
    <w:rsid w:val="006F7F06"/>
    <w:rsid w:val="00706B0B"/>
    <w:rsid w:val="00713398"/>
    <w:rsid w:val="0071465F"/>
    <w:rsid w:val="00715F7B"/>
    <w:rsid w:val="00720A6F"/>
    <w:rsid w:val="00720AC7"/>
    <w:rsid w:val="007225DD"/>
    <w:rsid w:val="007233CC"/>
    <w:rsid w:val="00723888"/>
    <w:rsid w:val="007255BB"/>
    <w:rsid w:val="00734672"/>
    <w:rsid w:val="007347A1"/>
    <w:rsid w:val="007349C7"/>
    <w:rsid w:val="0073722A"/>
    <w:rsid w:val="00740463"/>
    <w:rsid w:val="007423D5"/>
    <w:rsid w:val="00744E58"/>
    <w:rsid w:val="0074509C"/>
    <w:rsid w:val="00745DDD"/>
    <w:rsid w:val="0074614F"/>
    <w:rsid w:val="007462DA"/>
    <w:rsid w:val="00747E5B"/>
    <w:rsid w:val="00750884"/>
    <w:rsid w:val="007535AA"/>
    <w:rsid w:val="0075392F"/>
    <w:rsid w:val="00755705"/>
    <w:rsid w:val="007612FA"/>
    <w:rsid w:val="00766156"/>
    <w:rsid w:val="0077213E"/>
    <w:rsid w:val="00773AAD"/>
    <w:rsid w:val="007743C1"/>
    <w:rsid w:val="00774E2A"/>
    <w:rsid w:val="00777683"/>
    <w:rsid w:val="00780519"/>
    <w:rsid w:val="00781F81"/>
    <w:rsid w:val="00784B01"/>
    <w:rsid w:val="00787067"/>
    <w:rsid w:val="00790C25"/>
    <w:rsid w:val="007968E2"/>
    <w:rsid w:val="00796D0F"/>
    <w:rsid w:val="00797882"/>
    <w:rsid w:val="007A0DCD"/>
    <w:rsid w:val="007A1C4C"/>
    <w:rsid w:val="007A1FB7"/>
    <w:rsid w:val="007B5547"/>
    <w:rsid w:val="007B65F7"/>
    <w:rsid w:val="007C39C6"/>
    <w:rsid w:val="007C5667"/>
    <w:rsid w:val="007C5A03"/>
    <w:rsid w:val="007C7933"/>
    <w:rsid w:val="007D17F9"/>
    <w:rsid w:val="007D362A"/>
    <w:rsid w:val="007D5683"/>
    <w:rsid w:val="007E14C5"/>
    <w:rsid w:val="007E2860"/>
    <w:rsid w:val="007E3BC2"/>
    <w:rsid w:val="007F00F1"/>
    <w:rsid w:val="007F0D24"/>
    <w:rsid w:val="007F2D03"/>
    <w:rsid w:val="007F32E0"/>
    <w:rsid w:val="007F5C17"/>
    <w:rsid w:val="0080038B"/>
    <w:rsid w:val="00800831"/>
    <w:rsid w:val="008010DD"/>
    <w:rsid w:val="0080142C"/>
    <w:rsid w:val="0080343E"/>
    <w:rsid w:val="008052D3"/>
    <w:rsid w:val="00805451"/>
    <w:rsid w:val="00812C39"/>
    <w:rsid w:val="00814142"/>
    <w:rsid w:val="008340A5"/>
    <w:rsid w:val="008374CC"/>
    <w:rsid w:val="008417D5"/>
    <w:rsid w:val="00846694"/>
    <w:rsid w:val="008474D5"/>
    <w:rsid w:val="00855752"/>
    <w:rsid w:val="008571A9"/>
    <w:rsid w:val="00861558"/>
    <w:rsid w:val="00863AED"/>
    <w:rsid w:val="00864DEC"/>
    <w:rsid w:val="008734E3"/>
    <w:rsid w:val="00875C68"/>
    <w:rsid w:val="00876054"/>
    <w:rsid w:val="00881DBD"/>
    <w:rsid w:val="00882813"/>
    <w:rsid w:val="00883C3A"/>
    <w:rsid w:val="008853AC"/>
    <w:rsid w:val="00887033"/>
    <w:rsid w:val="00893CB1"/>
    <w:rsid w:val="00896236"/>
    <w:rsid w:val="008A5233"/>
    <w:rsid w:val="008B2698"/>
    <w:rsid w:val="008B2A6E"/>
    <w:rsid w:val="008B55A0"/>
    <w:rsid w:val="008C0715"/>
    <w:rsid w:val="008C3C16"/>
    <w:rsid w:val="008C424F"/>
    <w:rsid w:val="008C48A4"/>
    <w:rsid w:val="008D0E2A"/>
    <w:rsid w:val="008D14EA"/>
    <w:rsid w:val="008D2746"/>
    <w:rsid w:val="008D3D76"/>
    <w:rsid w:val="008D56FC"/>
    <w:rsid w:val="008E1693"/>
    <w:rsid w:val="008E555C"/>
    <w:rsid w:val="008E6E33"/>
    <w:rsid w:val="008F0300"/>
    <w:rsid w:val="008F153F"/>
    <w:rsid w:val="008F3CDE"/>
    <w:rsid w:val="008F567F"/>
    <w:rsid w:val="008F7AFF"/>
    <w:rsid w:val="0090004E"/>
    <w:rsid w:val="009000B5"/>
    <w:rsid w:val="00900760"/>
    <w:rsid w:val="00904558"/>
    <w:rsid w:val="00907AD2"/>
    <w:rsid w:val="00910C6F"/>
    <w:rsid w:val="00911850"/>
    <w:rsid w:val="00914961"/>
    <w:rsid w:val="00921A79"/>
    <w:rsid w:val="009225CF"/>
    <w:rsid w:val="0092451C"/>
    <w:rsid w:val="00924691"/>
    <w:rsid w:val="009270C7"/>
    <w:rsid w:val="00930A22"/>
    <w:rsid w:val="0093156A"/>
    <w:rsid w:val="00933632"/>
    <w:rsid w:val="00942BE8"/>
    <w:rsid w:val="00944816"/>
    <w:rsid w:val="0094545F"/>
    <w:rsid w:val="009502D3"/>
    <w:rsid w:val="00953F54"/>
    <w:rsid w:val="00954EEF"/>
    <w:rsid w:val="00957700"/>
    <w:rsid w:val="0096011F"/>
    <w:rsid w:val="009623D5"/>
    <w:rsid w:val="0096591F"/>
    <w:rsid w:val="00970F26"/>
    <w:rsid w:val="009728C6"/>
    <w:rsid w:val="00972C8D"/>
    <w:rsid w:val="00973CD7"/>
    <w:rsid w:val="00975D23"/>
    <w:rsid w:val="009805E4"/>
    <w:rsid w:val="00980B26"/>
    <w:rsid w:val="009814A9"/>
    <w:rsid w:val="00983831"/>
    <w:rsid w:val="009855F5"/>
    <w:rsid w:val="0098723D"/>
    <w:rsid w:val="009872C3"/>
    <w:rsid w:val="009875DA"/>
    <w:rsid w:val="009912A7"/>
    <w:rsid w:val="00992A3B"/>
    <w:rsid w:val="00993A9C"/>
    <w:rsid w:val="00994E61"/>
    <w:rsid w:val="009962A6"/>
    <w:rsid w:val="00997C8C"/>
    <w:rsid w:val="009A124E"/>
    <w:rsid w:val="009A2B70"/>
    <w:rsid w:val="009A4CE8"/>
    <w:rsid w:val="009A62B0"/>
    <w:rsid w:val="009B16D9"/>
    <w:rsid w:val="009B5759"/>
    <w:rsid w:val="009C713F"/>
    <w:rsid w:val="009D0DD8"/>
    <w:rsid w:val="009D0F63"/>
    <w:rsid w:val="009D1438"/>
    <w:rsid w:val="009D579A"/>
    <w:rsid w:val="009D6FB7"/>
    <w:rsid w:val="009E05F6"/>
    <w:rsid w:val="009E1E7F"/>
    <w:rsid w:val="009F10E0"/>
    <w:rsid w:val="009F3369"/>
    <w:rsid w:val="009F50A1"/>
    <w:rsid w:val="009F78AE"/>
    <w:rsid w:val="00A051E3"/>
    <w:rsid w:val="00A06305"/>
    <w:rsid w:val="00A0675E"/>
    <w:rsid w:val="00A10CCA"/>
    <w:rsid w:val="00A15318"/>
    <w:rsid w:val="00A1789C"/>
    <w:rsid w:val="00A178E0"/>
    <w:rsid w:val="00A23F04"/>
    <w:rsid w:val="00A336C1"/>
    <w:rsid w:val="00A35A98"/>
    <w:rsid w:val="00A37E57"/>
    <w:rsid w:val="00A4549E"/>
    <w:rsid w:val="00A47727"/>
    <w:rsid w:val="00A47D53"/>
    <w:rsid w:val="00A47E6C"/>
    <w:rsid w:val="00A5329A"/>
    <w:rsid w:val="00A60D87"/>
    <w:rsid w:val="00A627A7"/>
    <w:rsid w:val="00A65566"/>
    <w:rsid w:val="00A65B40"/>
    <w:rsid w:val="00A66FD5"/>
    <w:rsid w:val="00A67BA1"/>
    <w:rsid w:val="00A700CF"/>
    <w:rsid w:val="00A72EE7"/>
    <w:rsid w:val="00A743BC"/>
    <w:rsid w:val="00A74C35"/>
    <w:rsid w:val="00A843B8"/>
    <w:rsid w:val="00A95001"/>
    <w:rsid w:val="00A95A1A"/>
    <w:rsid w:val="00AA0549"/>
    <w:rsid w:val="00AA05B8"/>
    <w:rsid w:val="00AA2307"/>
    <w:rsid w:val="00AA4E61"/>
    <w:rsid w:val="00AA6DF3"/>
    <w:rsid w:val="00AA6FA7"/>
    <w:rsid w:val="00AA75A6"/>
    <w:rsid w:val="00AB32A0"/>
    <w:rsid w:val="00AB4EB0"/>
    <w:rsid w:val="00AB4FB1"/>
    <w:rsid w:val="00AB7D0A"/>
    <w:rsid w:val="00AC02EC"/>
    <w:rsid w:val="00AC30BF"/>
    <w:rsid w:val="00AC3221"/>
    <w:rsid w:val="00AC41F5"/>
    <w:rsid w:val="00AC4BDC"/>
    <w:rsid w:val="00AC702E"/>
    <w:rsid w:val="00AD16CD"/>
    <w:rsid w:val="00AD3260"/>
    <w:rsid w:val="00AD440F"/>
    <w:rsid w:val="00AE3F68"/>
    <w:rsid w:val="00AE5191"/>
    <w:rsid w:val="00AF501B"/>
    <w:rsid w:val="00AF51ED"/>
    <w:rsid w:val="00AF5416"/>
    <w:rsid w:val="00AF5AF4"/>
    <w:rsid w:val="00B0053D"/>
    <w:rsid w:val="00B009CF"/>
    <w:rsid w:val="00B07FD0"/>
    <w:rsid w:val="00B14406"/>
    <w:rsid w:val="00B17C43"/>
    <w:rsid w:val="00B20760"/>
    <w:rsid w:val="00B2115E"/>
    <w:rsid w:val="00B220ED"/>
    <w:rsid w:val="00B22747"/>
    <w:rsid w:val="00B31AE6"/>
    <w:rsid w:val="00B357F6"/>
    <w:rsid w:val="00B42D3E"/>
    <w:rsid w:val="00B45218"/>
    <w:rsid w:val="00B528E2"/>
    <w:rsid w:val="00B55FED"/>
    <w:rsid w:val="00B60EB1"/>
    <w:rsid w:val="00B620A9"/>
    <w:rsid w:val="00B65537"/>
    <w:rsid w:val="00B6586D"/>
    <w:rsid w:val="00B6692C"/>
    <w:rsid w:val="00B72F77"/>
    <w:rsid w:val="00B73568"/>
    <w:rsid w:val="00B8024D"/>
    <w:rsid w:val="00B819B9"/>
    <w:rsid w:val="00B82D11"/>
    <w:rsid w:val="00B87AEC"/>
    <w:rsid w:val="00B90E87"/>
    <w:rsid w:val="00B92172"/>
    <w:rsid w:val="00B94E39"/>
    <w:rsid w:val="00B9519F"/>
    <w:rsid w:val="00B96036"/>
    <w:rsid w:val="00B96D3E"/>
    <w:rsid w:val="00B97842"/>
    <w:rsid w:val="00BA6F9E"/>
    <w:rsid w:val="00BA7FBC"/>
    <w:rsid w:val="00BB1A68"/>
    <w:rsid w:val="00BB2222"/>
    <w:rsid w:val="00BB281E"/>
    <w:rsid w:val="00BC0D46"/>
    <w:rsid w:val="00BC1791"/>
    <w:rsid w:val="00BC2206"/>
    <w:rsid w:val="00BC289A"/>
    <w:rsid w:val="00BC3BB8"/>
    <w:rsid w:val="00BC61B9"/>
    <w:rsid w:val="00BC7B24"/>
    <w:rsid w:val="00BD1E6E"/>
    <w:rsid w:val="00BD63BA"/>
    <w:rsid w:val="00BE0223"/>
    <w:rsid w:val="00BE0AD8"/>
    <w:rsid w:val="00BE1A90"/>
    <w:rsid w:val="00BE2D5A"/>
    <w:rsid w:val="00BE48B0"/>
    <w:rsid w:val="00BF2CBE"/>
    <w:rsid w:val="00BF40D8"/>
    <w:rsid w:val="00C0359C"/>
    <w:rsid w:val="00C05425"/>
    <w:rsid w:val="00C05C9A"/>
    <w:rsid w:val="00C10D8F"/>
    <w:rsid w:val="00C1283F"/>
    <w:rsid w:val="00C25CE2"/>
    <w:rsid w:val="00C27C94"/>
    <w:rsid w:val="00C353A2"/>
    <w:rsid w:val="00C378C2"/>
    <w:rsid w:val="00C40FA6"/>
    <w:rsid w:val="00C529AE"/>
    <w:rsid w:val="00C52D76"/>
    <w:rsid w:val="00C531FD"/>
    <w:rsid w:val="00C53970"/>
    <w:rsid w:val="00C5736F"/>
    <w:rsid w:val="00C65F59"/>
    <w:rsid w:val="00C75F51"/>
    <w:rsid w:val="00C768B1"/>
    <w:rsid w:val="00C80A47"/>
    <w:rsid w:val="00C84808"/>
    <w:rsid w:val="00C8490C"/>
    <w:rsid w:val="00C85B38"/>
    <w:rsid w:val="00C85BA9"/>
    <w:rsid w:val="00C92AFF"/>
    <w:rsid w:val="00C92FC6"/>
    <w:rsid w:val="00CA261B"/>
    <w:rsid w:val="00CA2C6D"/>
    <w:rsid w:val="00CA304D"/>
    <w:rsid w:val="00CA3A32"/>
    <w:rsid w:val="00CA449B"/>
    <w:rsid w:val="00CB1D96"/>
    <w:rsid w:val="00CB5955"/>
    <w:rsid w:val="00CB6A4B"/>
    <w:rsid w:val="00CC043D"/>
    <w:rsid w:val="00CC1921"/>
    <w:rsid w:val="00CD012B"/>
    <w:rsid w:val="00CD01B7"/>
    <w:rsid w:val="00CD144E"/>
    <w:rsid w:val="00CD58F1"/>
    <w:rsid w:val="00CD62BB"/>
    <w:rsid w:val="00CE4FF3"/>
    <w:rsid w:val="00CE64AC"/>
    <w:rsid w:val="00CF1387"/>
    <w:rsid w:val="00CF3261"/>
    <w:rsid w:val="00CF52DB"/>
    <w:rsid w:val="00D00095"/>
    <w:rsid w:val="00D036A6"/>
    <w:rsid w:val="00D05D20"/>
    <w:rsid w:val="00D05FD2"/>
    <w:rsid w:val="00D07A1E"/>
    <w:rsid w:val="00D12526"/>
    <w:rsid w:val="00D13999"/>
    <w:rsid w:val="00D1432B"/>
    <w:rsid w:val="00D14A3F"/>
    <w:rsid w:val="00D151F3"/>
    <w:rsid w:val="00D16108"/>
    <w:rsid w:val="00D16E7A"/>
    <w:rsid w:val="00D172CF"/>
    <w:rsid w:val="00D23A2C"/>
    <w:rsid w:val="00D24855"/>
    <w:rsid w:val="00D25137"/>
    <w:rsid w:val="00D25181"/>
    <w:rsid w:val="00D31791"/>
    <w:rsid w:val="00D33712"/>
    <w:rsid w:val="00D34CB3"/>
    <w:rsid w:val="00D406BB"/>
    <w:rsid w:val="00D41D36"/>
    <w:rsid w:val="00D468A8"/>
    <w:rsid w:val="00D537F1"/>
    <w:rsid w:val="00D53A41"/>
    <w:rsid w:val="00D55A4E"/>
    <w:rsid w:val="00D56EFE"/>
    <w:rsid w:val="00D57270"/>
    <w:rsid w:val="00D60209"/>
    <w:rsid w:val="00D608DB"/>
    <w:rsid w:val="00D636A9"/>
    <w:rsid w:val="00D65BBE"/>
    <w:rsid w:val="00D674A7"/>
    <w:rsid w:val="00D73B61"/>
    <w:rsid w:val="00D74810"/>
    <w:rsid w:val="00D75906"/>
    <w:rsid w:val="00D82E42"/>
    <w:rsid w:val="00D84021"/>
    <w:rsid w:val="00D948C8"/>
    <w:rsid w:val="00DA31CC"/>
    <w:rsid w:val="00DA6D95"/>
    <w:rsid w:val="00DA7E6D"/>
    <w:rsid w:val="00DB4F48"/>
    <w:rsid w:val="00DB511D"/>
    <w:rsid w:val="00DB6136"/>
    <w:rsid w:val="00DC0465"/>
    <w:rsid w:val="00DC0507"/>
    <w:rsid w:val="00DC05B7"/>
    <w:rsid w:val="00DC52DE"/>
    <w:rsid w:val="00DC5512"/>
    <w:rsid w:val="00DC75A0"/>
    <w:rsid w:val="00DD52D6"/>
    <w:rsid w:val="00DE73FA"/>
    <w:rsid w:val="00DE7596"/>
    <w:rsid w:val="00DF3719"/>
    <w:rsid w:val="00DF57C4"/>
    <w:rsid w:val="00DF5813"/>
    <w:rsid w:val="00DF5AE3"/>
    <w:rsid w:val="00E008AD"/>
    <w:rsid w:val="00E0097B"/>
    <w:rsid w:val="00E02755"/>
    <w:rsid w:val="00E05DE6"/>
    <w:rsid w:val="00E172A7"/>
    <w:rsid w:val="00E32A7A"/>
    <w:rsid w:val="00E32B86"/>
    <w:rsid w:val="00E365EA"/>
    <w:rsid w:val="00E36703"/>
    <w:rsid w:val="00E46AA7"/>
    <w:rsid w:val="00E47114"/>
    <w:rsid w:val="00E50ADF"/>
    <w:rsid w:val="00E50E9D"/>
    <w:rsid w:val="00E51104"/>
    <w:rsid w:val="00E51AB7"/>
    <w:rsid w:val="00E54AF8"/>
    <w:rsid w:val="00E638CD"/>
    <w:rsid w:val="00E64871"/>
    <w:rsid w:val="00E661FA"/>
    <w:rsid w:val="00E76299"/>
    <w:rsid w:val="00E765ED"/>
    <w:rsid w:val="00E80D88"/>
    <w:rsid w:val="00E829A7"/>
    <w:rsid w:val="00E84267"/>
    <w:rsid w:val="00E9028B"/>
    <w:rsid w:val="00E91FDD"/>
    <w:rsid w:val="00E94CC4"/>
    <w:rsid w:val="00E9644D"/>
    <w:rsid w:val="00E97A71"/>
    <w:rsid w:val="00EA2B25"/>
    <w:rsid w:val="00EA4A90"/>
    <w:rsid w:val="00EA53AD"/>
    <w:rsid w:val="00EA5804"/>
    <w:rsid w:val="00EA639D"/>
    <w:rsid w:val="00EA7428"/>
    <w:rsid w:val="00EA7F9F"/>
    <w:rsid w:val="00EB626B"/>
    <w:rsid w:val="00EC20D6"/>
    <w:rsid w:val="00EC3749"/>
    <w:rsid w:val="00EC47FB"/>
    <w:rsid w:val="00ED478D"/>
    <w:rsid w:val="00EE0D6A"/>
    <w:rsid w:val="00EE3422"/>
    <w:rsid w:val="00EE3897"/>
    <w:rsid w:val="00EE6D2E"/>
    <w:rsid w:val="00EE7EB1"/>
    <w:rsid w:val="00EF0848"/>
    <w:rsid w:val="00EF4B32"/>
    <w:rsid w:val="00EF5136"/>
    <w:rsid w:val="00EF53B3"/>
    <w:rsid w:val="00EF60DF"/>
    <w:rsid w:val="00EF6A92"/>
    <w:rsid w:val="00EF6C2C"/>
    <w:rsid w:val="00F03C8B"/>
    <w:rsid w:val="00F06CF8"/>
    <w:rsid w:val="00F1209F"/>
    <w:rsid w:val="00F12955"/>
    <w:rsid w:val="00F13CF3"/>
    <w:rsid w:val="00F1529E"/>
    <w:rsid w:val="00F20195"/>
    <w:rsid w:val="00F240EF"/>
    <w:rsid w:val="00F2537E"/>
    <w:rsid w:val="00F25D1B"/>
    <w:rsid w:val="00F26BB5"/>
    <w:rsid w:val="00F277E3"/>
    <w:rsid w:val="00F30113"/>
    <w:rsid w:val="00F30A28"/>
    <w:rsid w:val="00F331C3"/>
    <w:rsid w:val="00F42819"/>
    <w:rsid w:val="00F44F21"/>
    <w:rsid w:val="00F46B01"/>
    <w:rsid w:val="00F512B3"/>
    <w:rsid w:val="00F514E6"/>
    <w:rsid w:val="00F51B45"/>
    <w:rsid w:val="00F522FE"/>
    <w:rsid w:val="00F5648F"/>
    <w:rsid w:val="00F5669B"/>
    <w:rsid w:val="00F56E5B"/>
    <w:rsid w:val="00F609C2"/>
    <w:rsid w:val="00F61029"/>
    <w:rsid w:val="00F61ADE"/>
    <w:rsid w:val="00F65A49"/>
    <w:rsid w:val="00F70858"/>
    <w:rsid w:val="00F7119A"/>
    <w:rsid w:val="00F735FA"/>
    <w:rsid w:val="00F73A0D"/>
    <w:rsid w:val="00F741B3"/>
    <w:rsid w:val="00F743D5"/>
    <w:rsid w:val="00F752A0"/>
    <w:rsid w:val="00F82C4A"/>
    <w:rsid w:val="00F83DDE"/>
    <w:rsid w:val="00F85753"/>
    <w:rsid w:val="00F85F58"/>
    <w:rsid w:val="00F863D1"/>
    <w:rsid w:val="00F9015E"/>
    <w:rsid w:val="00F90811"/>
    <w:rsid w:val="00F90AEE"/>
    <w:rsid w:val="00F9281A"/>
    <w:rsid w:val="00F9325F"/>
    <w:rsid w:val="00FA2EB0"/>
    <w:rsid w:val="00FA34C3"/>
    <w:rsid w:val="00FA4605"/>
    <w:rsid w:val="00FB054A"/>
    <w:rsid w:val="00FB1FD5"/>
    <w:rsid w:val="00FB2308"/>
    <w:rsid w:val="00FB28FE"/>
    <w:rsid w:val="00FB3935"/>
    <w:rsid w:val="00FB3AF5"/>
    <w:rsid w:val="00FB407B"/>
    <w:rsid w:val="00FB60E9"/>
    <w:rsid w:val="00FC0048"/>
    <w:rsid w:val="00FC0066"/>
    <w:rsid w:val="00FC5B35"/>
    <w:rsid w:val="00FD27CA"/>
    <w:rsid w:val="00FD46C7"/>
    <w:rsid w:val="00FD5BDE"/>
    <w:rsid w:val="00FE0141"/>
    <w:rsid w:val="00FE0E0F"/>
    <w:rsid w:val="00FE0F6C"/>
    <w:rsid w:val="00FE2F05"/>
    <w:rsid w:val="00FE3DD5"/>
    <w:rsid w:val="00FF2E85"/>
    <w:rsid w:val="00FF5D49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C0507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C0507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DC0507"/>
    <w:pPr>
      <w:keepNext/>
      <w:spacing w:before="60"/>
      <w:jc w:val="center"/>
      <w:outlineLvl w:val="2"/>
    </w:pPr>
    <w:rPr>
      <w:rFonts w:ascii="Arial" w:hAnsi="Arial"/>
      <w:b/>
      <w:color w:val="800000"/>
      <w:sz w:val="16"/>
    </w:rPr>
  </w:style>
  <w:style w:type="paragraph" w:styleId="Ttulo4">
    <w:name w:val="heading 4"/>
    <w:basedOn w:val="Normal"/>
    <w:next w:val="Normal"/>
    <w:link w:val="Ttulo4Char"/>
    <w:qFormat/>
    <w:rsid w:val="00DC0507"/>
    <w:pPr>
      <w:keepNext/>
      <w:jc w:val="center"/>
      <w:outlineLvl w:val="3"/>
    </w:pPr>
    <w:rPr>
      <w:rFonts w:ascii="Albertus" w:hAnsi="Albertus"/>
      <w:b/>
      <w:sz w:val="15"/>
    </w:rPr>
  </w:style>
  <w:style w:type="paragraph" w:styleId="Ttulo5">
    <w:name w:val="heading 5"/>
    <w:basedOn w:val="Normal"/>
    <w:next w:val="Normal"/>
    <w:link w:val="Ttulo5Char"/>
    <w:qFormat/>
    <w:rsid w:val="00DC0507"/>
    <w:pPr>
      <w:keepNext/>
      <w:jc w:val="center"/>
      <w:outlineLvl w:val="4"/>
    </w:pPr>
    <w:rPr>
      <w:rFonts w:ascii="Albertus" w:hAnsi="Albertus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DC0507"/>
    <w:pPr>
      <w:keepNext/>
      <w:spacing w:before="40"/>
      <w:ind w:firstLine="567"/>
      <w:jc w:val="center"/>
      <w:outlineLvl w:val="5"/>
    </w:pPr>
    <w:rPr>
      <w:rFonts w:ascii="Arial" w:hAnsi="Arial"/>
      <w:b/>
      <w:color w:val="800000"/>
      <w:sz w:val="16"/>
    </w:rPr>
  </w:style>
  <w:style w:type="paragraph" w:styleId="Ttulo7">
    <w:name w:val="heading 7"/>
    <w:basedOn w:val="Normal"/>
    <w:next w:val="Normal"/>
    <w:link w:val="Ttulo7Char"/>
    <w:qFormat/>
    <w:rsid w:val="00DC0507"/>
    <w:pPr>
      <w:keepNext/>
      <w:jc w:val="center"/>
      <w:outlineLvl w:val="6"/>
    </w:pPr>
    <w:rPr>
      <w:rFonts w:ascii="Arial" w:hAnsi="Arial"/>
      <w:b/>
      <w:snapToGrid w:val="0"/>
      <w:color w:val="800000"/>
      <w:sz w:val="18"/>
    </w:rPr>
  </w:style>
  <w:style w:type="paragraph" w:styleId="Ttulo8">
    <w:name w:val="heading 8"/>
    <w:basedOn w:val="Normal"/>
    <w:next w:val="Normal"/>
    <w:link w:val="Ttulo8Char"/>
    <w:qFormat/>
    <w:rsid w:val="00DC0507"/>
    <w:pPr>
      <w:keepNext/>
      <w:outlineLvl w:val="7"/>
    </w:pPr>
    <w:rPr>
      <w:rFonts w:ascii="Albertus" w:hAnsi="Albertus"/>
      <w:i/>
    </w:rPr>
  </w:style>
  <w:style w:type="paragraph" w:styleId="Ttulo9">
    <w:name w:val="heading 9"/>
    <w:basedOn w:val="Normal"/>
    <w:next w:val="Normal"/>
    <w:link w:val="Ttulo9Char"/>
    <w:qFormat/>
    <w:rsid w:val="00DC0507"/>
    <w:pPr>
      <w:keepNext/>
      <w:outlineLvl w:val="8"/>
    </w:pPr>
    <w:rPr>
      <w:rFonts w:ascii="Arial" w:hAnsi="Arial"/>
      <w:b/>
      <w:color w:val="8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50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C05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C0507"/>
    <w:rPr>
      <w:rFonts w:ascii="Arial" w:eastAsia="Times New Roman" w:hAnsi="Arial" w:cs="Times New Roman"/>
      <w:b/>
      <w:color w:val="800000"/>
      <w:sz w:val="1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C0507"/>
    <w:rPr>
      <w:rFonts w:ascii="Albertus" w:eastAsia="Times New Roman" w:hAnsi="Albertus" w:cs="Times New Roman"/>
      <w:b/>
      <w:sz w:val="15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C0507"/>
    <w:rPr>
      <w:rFonts w:ascii="Albertus" w:eastAsia="Times New Roman" w:hAnsi="Albertus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C0507"/>
    <w:rPr>
      <w:rFonts w:ascii="Arial" w:eastAsia="Times New Roman" w:hAnsi="Arial" w:cs="Times New Roman"/>
      <w:b/>
      <w:color w:val="800000"/>
      <w:sz w:val="1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C0507"/>
    <w:rPr>
      <w:rFonts w:ascii="Arial" w:eastAsia="Times New Roman" w:hAnsi="Arial" w:cs="Times New Roman"/>
      <w:b/>
      <w:snapToGrid w:val="0"/>
      <w:color w:val="800000"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C0507"/>
    <w:rPr>
      <w:rFonts w:ascii="Albertus" w:eastAsia="Times New Roman" w:hAnsi="Albertus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C0507"/>
    <w:rPr>
      <w:rFonts w:ascii="Arial" w:eastAsia="Times New Roman" w:hAnsi="Arial" w:cs="Times New Roman"/>
      <w:b/>
      <w:color w:val="80000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C0507"/>
    <w:pPr>
      <w:jc w:val="right"/>
    </w:pPr>
    <w:rPr>
      <w:rFonts w:ascii="Albertus" w:hAnsi="Albertus"/>
      <w:sz w:val="24"/>
    </w:rPr>
  </w:style>
  <w:style w:type="character" w:customStyle="1" w:styleId="SubttuloChar">
    <w:name w:val="Subtítulo Char"/>
    <w:basedOn w:val="Fontepargpadro"/>
    <w:link w:val="Subttulo"/>
    <w:rsid w:val="00DC0507"/>
    <w:rPr>
      <w:rFonts w:ascii="Albertus" w:eastAsia="Times New Roman" w:hAnsi="Albertu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C0507"/>
    <w:pPr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05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DC0507"/>
    <w:pPr>
      <w:widowControl w:val="0"/>
    </w:pPr>
    <w:rPr>
      <w:sz w:val="24"/>
      <w:lang w:val="en-US"/>
    </w:rPr>
  </w:style>
  <w:style w:type="paragraph" w:customStyle="1" w:styleId="TpicosNoRecortado">
    <w:name w:val="Tópicos (Não Recortado)"/>
    <w:basedOn w:val="Normal"/>
    <w:rsid w:val="00DC0507"/>
    <w:pPr>
      <w:ind w:left="360" w:hanging="360"/>
    </w:pPr>
    <w:rPr>
      <w:color w:val="000000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DC0507"/>
    <w:pPr>
      <w:ind w:firstLine="1134"/>
      <w:jc w:val="both"/>
    </w:pPr>
    <w:rPr>
      <w:rFonts w:ascii="Albertus" w:hAnsi="Albertus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0507"/>
    <w:rPr>
      <w:rFonts w:ascii="Albertus" w:eastAsia="Times New Roman" w:hAnsi="Albertus" w:cs="Times New Roman"/>
      <w:sz w:val="24"/>
      <w:szCs w:val="20"/>
      <w:lang w:eastAsia="pt-BR"/>
    </w:rPr>
  </w:style>
  <w:style w:type="paragraph" w:customStyle="1" w:styleId="LDB">
    <w:name w:val="LDB"/>
    <w:basedOn w:val="Normal"/>
    <w:rsid w:val="00DC0507"/>
    <w:pPr>
      <w:widowControl w:val="0"/>
      <w:spacing w:before="120" w:after="120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DC0507"/>
    <w:pPr>
      <w:jc w:val="center"/>
    </w:pPr>
    <w:rPr>
      <w:rFonts w:ascii="Albertus" w:hAnsi="Albertus"/>
      <w:sz w:val="24"/>
    </w:rPr>
  </w:style>
  <w:style w:type="character" w:customStyle="1" w:styleId="TtuloChar">
    <w:name w:val="Título Char"/>
    <w:basedOn w:val="Fontepargpadro"/>
    <w:link w:val="Ttulo"/>
    <w:rsid w:val="00DC0507"/>
    <w:rPr>
      <w:rFonts w:ascii="Albertus" w:eastAsia="Times New Roman" w:hAnsi="Albertus" w:cs="Times New Roman"/>
      <w:sz w:val="24"/>
      <w:szCs w:val="20"/>
      <w:lang w:eastAsia="pt-BR"/>
    </w:rPr>
  </w:style>
  <w:style w:type="paragraph" w:customStyle="1" w:styleId="ttulo10">
    <w:name w:val="título 1"/>
    <w:basedOn w:val="Normal"/>
    <w:rsid w:val="00DC0507"/>
    <w:pPr>
      <w:tabs>
        <w:tab w:val="left" w:pos="1276"/>
        <w:tab w:val="left" w:pos="1418"/>
      </w:tabs>
      <w:jc w:val="both"/>
    </w:pPr>
    <w:rPr>
      <w:rFonts w:ascii="Courier New" w:hAnsi="Courier New"/>
      <w:b/>
      <w:caps/>
      <w:sz w:val="24"/>
    </w:rPr>
  </w:style>
  <w:style w:type="paragraph" w:styleId="Rodap">
    <w:name w:val="footer"/>
    <w:basedOn w:val="Normal"/>
    <w:link w:val="RodapChar"/>
    <w:semiHidden/>
    <w:rsid w:val="00DC05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C05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padro1">
    <w:name w:val="Texto padrão:1"/>
    <w:basedOn w:val="Normal"/>
    <w:rsid w:val="00DC0507"/>
    <w:rPr>
      <w:color w:val="000000"/>
      <w:sz w:val="24"/>
      <w:lang w:val="en-US"/>
    </w:rPr>
  </w:style>
  <w:style w:type="paragraph" w:customStyle="1" w:styleId="Ementa">
    <w:name w:val="Ementa"/>
    <w:basedOn w:val="Normal"/>
    <w:rsid w:val="00DC0507"/>
    <w:pPr>
      <w:tabs>
        <w:tab w:val="left" w:pos="0"/>
      </w:tabs>
      <w:ind w:left="5102" w:firstLine="562"/>
      <w:jc w:val="both"/>
    </w:pPr>
    <w:rPr>
      <w:b/>
      <w:snapToGrid w:val="0"/>
    </w:rPr>
  </w:style>
  <w:style w:type="paragraph" w:styleId="Corpodetexto2">
    <w:name w:val="Body Text 2"/>
    <w:basedOn w:val="Normal"/>
    <w:link w:val="Corpodetexto2Char"/>
    <w:semiHidden/>
    <w:rsid w:val="00DC0507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C0507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DC0507"/>
  </w:style>
  <w:style w:type="paragraph" w:customStyle="1" w:styleId="Corpodotexto">
    <w:name w:val="Corpo do texto"/>
    <w:basedOn w:val="Normal"/>
    <w:rsid w:val="00DC0507"/>
    <w:rPr>
      <w:color w:val="000000"/>
      <w:sz w:val="24"/>
    </w:rPr>
  </w:style>
  <w:style w:type="paragraph" w:customStyle="1" w:styleId="Concluso">
    <w:name w:val="Conclusão"/>
    <w:basedOn w:val="Normal"/>
    <w:rsid w:val="00DC0507"/>
    <w:pPr>
      <w:tabs>
        <w:tab w:val="left" w:pos="2835"/>
      </w:tabs>
      <w:spacing w:after="120"/>
      <w:ind w:left="2835"/>
      <w:jc w:val="both"/>
    </w:pPr>
    <w:rPr>
      <w:color w:val="000000"/>
      <w:sz w:val="24"/>
    </w:rPr>
  </w:style>
  <w:style w:type="character" w:styleId="Hyperlink">
    <w:name w:val="Hyperlink"/>
    <w:basedOn w:val="Fontepargpadro"/>
    <w:semiHidden/>
    <w:rsid w:val="00DC0507"/>
    <w:rPr>
      <w:color w:val="0000FF"/>
      <w:u w:val="single"/>
    </w:rPr>
  </w:style>
  <w:style w:type="paragraph" w:styleId="Cabealho">
    <w:name w:val="header"/>
    <w:basedOn w:val="Normal"/>
    <w:link w:val="CabealhoChar"/>
    <w:semiHidden/>
    <w:rsid w:val="00DC05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C05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C0507"/>
    <w:pPr>
      <w:ind w:firstLine="1276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0507"/>
    <w:rPr>
      <w:rFonts w:ascii="Arial" w:eastAsia="Times New Roman" w:hAnsi="Arial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DC0507"/>
    <w:rPr>
      <w:i/>
    </w:rPr>
  </w:style>
  <w:style w:type="character" w:customStyle="1" w:styleId="Hiperlink">
    <w:name w:val="Hiperlink"/>
    <w:rsid w:val="00DC0507"/>
    <w:rPr>
      <w:color w:val="0000FF"/>
      <w:u w:val="single"/>
    </w:rPr>
  </w:style>
  <w:style w:type="character" w:styleId="Forte">
    <w:name w:val="Strong"/>
    <w:basedOn w:val="Fontepargpadro"/>
    <w:qFormat/>
    <w:rsid w:val="00DC0507"/>
    <w:rPr>
      <w:b/>
    </w:rPr>
  </w:style>
  <w:style w:type="paragraph" w:customStyle="1" w:styleId="Textopadro11">
    <w:name w:val="Texto padrão:1:1"/>
    <w:basedOn w:val="Normal"/>
    <w:rsid w:val="00DC0507"/>
    <w:rPr>
      <w:snapToGrid w:val="0"/>
      <w:sz w:val="24"/>
      <w:lang w:val="en-US"/>
    </w:rPr>
  </w:style>
  <w:style w:type="paragraph" w:styleId="Corpodetexto">
    <w:name w:val="Body Text"/>
    <w:basedOn w:val="Normal"/>
    <w:link w:val="CorpodetextoChar"/>
    <w:semiHidden/>
    <w:rsid w:val="00DC0507"/>
    <w:pPr>
      <w:jc w:val="both"/>
    </w:pPr>
    <w:rPr>
      <w:rFonts w:ascii="Albertus" w:hAnsi="Albertus"/>
    </w:rPr>
  </w:style>
  <w:style w:type="character" w:customStyle="1" w:styleId="CorpodetextoChar">
    <w:name w:val="Corpo de texto Char"/>
    <w:basedOn w:val="Fontepargpadro"/>
    <w:link w:val="Corpodetexto"/>
    <w:semiHidden/>
    <w:rsid w:val="00DC0507"/>
    <w:rPr>
      <w:rFonts w:ascii="Albertus" w:eastAsia="Times New Roman" w:hAnsi="Albertus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C0507"/>
    <w:rPr>
      <w:rFonts w:ascii="Arial" w:hAnsi="Arial"/>
      <w:b/>
      <w:color w:val="800000"/>
      <w:sz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C0507"/>
    <w:rPr>
      <w:rFonts w:ascii="Arial" w:eastAsia="Times New Roman" w:hAnsi="Arial" w:cs="Times New Roman"/>
      <w:b/>
      <w:color w:val="800000"/>
      <w:sz w:val="16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C0507"/>
  </w:style>
  <w:style w:type="character" w:customStyle="1" w:styleId="TextodenotaderodapChar">
    <w:name w:val="Texto de nota de rodapé Char"/>
    <w:basedOn w:val="Fontepargpadro"/>
    <w:link w:val="Textodenotaderodap"/>
    <w:semiHidden/>
    <w:rsid w:val="00DC050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050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dio">
    <w:name w:val="Claudio"/>
    <w:rsid w:val="00DC0507"/>
    <w:pPr>
      <w:jc w:val="both"/>
    </w:pPr>
    <w:rPr>
      <w:rFonts w:ascii="Arial" w:eastAsia="Times New Roman" w:hAnsi="Arial"/>
      <w:noProof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5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50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662E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FB110-6396-40AF-B168-152AC090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6471</TotalTime>
  <Pages>8</Pages>
  <Words>2994</Words>
  <Characters>16173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19129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TCSC</cp:lastModifiedBy>
  <cp:revision>133</cp:revision>
  <cp:lastPrinted>2015-08-24T18:26:00Z</cp:lastPrinted>
  <dcterms:created xsi:type="dcterms:W3CDTF">2012-08-16T17:17:00Z</dcterms:created>
  <dcterms:modified xsi:type="dcterms:W3CDTF">2015-08-24T18:26:00Z</dcterms:modified>
</cp:coreProperties>
</file>